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before="2400"/>
      </w:pPr>
      <w:r>
        <w:rPr>
          <w:rFonts w:ascii="Calibri" w:cs="Calibri" w:eastAsia="Calibri" w:hAnsi="Calibri"/>
          <w:b/>
          <w:bCs/>
          <w:color w:val="0369A1"/>
          <w:spacing w:val="40"/>
          <w:sz w:val="20"/>
          <w:szCs w:val="20"/>
        </w:rPr>
        <w:t xml:space="preserve">AI CONTROL PLANE ASSESSMENT TOOLKIT</w:t>
      </w:r>
    </w:p>
    <w:p>
      <w:pPr>
        <w:spacing w:after="240"/>
      </w:pPr>
      <w:r>
        <w:rPr>
          <w:rFonts w:ascii="Calibri" w:cs="Calibri" w:eastAsia="Calibri" w:hAnsi="Calibri"/>
          <w:b/>
          <w:bCs/>
          <w:color w:val="0F172A"/>
          <w:sz w:val="56"/>
          <w:szCs w:val="56"/>
        </w:rPr>
        <w:t xml:space="preserve">Assessment templates T1 to T13</w:t>
      </w:r>
    </w:p>
    <w:p>
      <w:pPr>
        <w:spacing w:after="600"/>
      </w:pPr>
      <w:r>
        <w:rPr>
          <w:rFonts w:ascii="Calibri" w:cs="Calibri" w:eastAsia="Calibri" w:hAnsi="Calibri"/>
          <w:color w:val="1E293B"/>
          <w:sz w:val="26"/>
          <w:szCs w:val="26"/>
        </w:rPr>
        <w:t xml:space="preserve">Part 1: the blank templates. Part 2: the templates filled in for reference use case 1, engagement launch at a global audit, tax and advisory firm (illustrative).</w:t>
      </w:r>
    </w:p>
    <w:p>
      <w:pPr>
        <w:spacing w:after="80"/>
      </w:pPr>
      <w:r>
        <w:rPr>
          <w:rFonts w:ascii="Calibri" w:cs="Calibri" w:eastAsia="Calibri" w:hAnsi="Calibri"/>
          <w:b/>
          <w:bCs/>
          <w:color w:val="0F172A"/>
          <w:sz w:val="24"/>
          <w:szCs w:val="24"/>
        </w:rPr>
        <w:t xml:space="preserve">John Fisher</w:t>
      </w:r>
    </w:p>
    <w:p>
      <w:pPr>
        <w:spacing w:after="1200"/>
      </w:pPr>
      <w:r>
        <w:rPr>
          <w:rFonts w:ascii="Calibri" w:cs="Calibri" w:eastAsia="Calibri" w:hAnsi="Calibri"/>
          <w:color w:val="1E293B"/>
          <w:sz w:val="24"/>
          <w:szCs w:val="24"/>
        </w:rPr>
        <w:t xml:space="preserve">2026</w:t>
      </w:r>
    </w:p>
    <w:p>
      <w:pPr>
        <w:spacing w:after="80"/>
      </w:pPr>
      <w:r>
        <w:rPr>
          <w:rFonts w:ascii="Calibri" w:cs="Calibri" w:eastAsia="Calibri" w:hAnsi="Calibri"/>
          <w:color w:val="64748B"/>
          <w:sz w:val="20"/>
          <w:szCs w:val="20"/>
        </w:rPr>
        <w:t xml:space="preserve">A companion to the guide </w:t>
      </w:r>
      <w:r>
        <w:rPr>
          <w:rFonts w:ascii="Calibri" w:cs="Calibri" w:eastAsia="Calibri" w:hAnsi="Calibri"/>
          <w:i/>
          <w:iCs/>
          <w:color w:val="64748B"/>
          <w:sz w:val="20"/>
          <w:szCs w:val="20"/>
        </w:rPr>
        <w:t xml:space="preserve">Assessing an AI Control Plane Project</w:t>
      </w:r>
    </w:p>
    <w:p>
      <w:hyperlink w:history="1" r:id="rIdwbtkvy5_dtpi6xaloqb7_">
        <w:r>
          <w:rPr>
            <w:rFonts w:ascii="Calibri" w:cs="Calibri" w:eastAsia="Calibri" w:hAnsi="Calibri"/>
            <w:color w:val="0369A1"/>
            <w:sz w:val="20"/>
            <w:szCs w:val="20"/>
            <w:u w:val="single"/>
          </w:rPr>
          <w:t xml:space="preserve">https://johnfisher-ai.github.io/ai-control-plane-handbook/toolkit/</w:t>
        </w:r>
      </w:hyperlink>
    </w:p>
    <w:p>
      <w:pPr>
        <w:spacing w:before="1600"/>
      </w:pPr>
      <w:r>
        <w:rPr>
          <w:rFonts w:ascii="Calibri" w:cs="Calibri" w:eastAsia="Calibri" w:hAnsi="Calibri"/>
          <w:color w:val="64748B"/>
          <w:sz w:val="17"/>
          <w:szCs w:val="17"/>
        </w:rPr>
        <w:t xml:space="preserve">© 2026 John Fisher. Licensed under CC BY-NC-ND 4.0, with additional permissions to fill in and adapt the templates; see the notices at the end. John Fisher works for Salesforce; the views here are his own and drawn from public information, and this toolkit is not affiliated with or endorsed by Salesforce.</w:t>
      </w:r>
    </w:p>
    <w:p>
      <w:pPr>
        <w:pStyle w:val="Heading1"/>
        <w:keepNext/>
        <w:pageBreakBefore/>
      </w:pPr>
      <w:bookmarkStart w:name="about" w:id="1"/>
      <w:r>
        <w:rPr>
          <w:rFonts w:ascii="Calibri" w:cs="Calibri" w:eastAsia="Calibri" w:hAnsi="Calibri"/>
        </w:rPr>
        <w:t xml:space="preserve">About this document</w:t>
      </w:r>
      <w:bookmarkEnd w:id="1"/>
    </w:p>
    <w:p>
      <w:pPr>
        <w:spacing w:after="140"/>
      </w:pPr>
      <w:r>
        <w:rPr>
          <w:rFonts w:ascii="Calibri" w:cs="Calibri" w:eastAsia="Calibri" w:hAnsi="Calibri"/>
        </w:rPr>
        <w:t xml:space="preserve">This document holds the thirteen templates of the AI control plane assessment, T1 to T13, ready to copy and fill in. Part 1 has the blank templates, each with its note on how to use it. Part 2 has the same templates filled in for reference use case 1, engagement launch at a global audit, tax and advisory firm, each with a note on why it is filled that way.</w:t>
      </w:r>
    </w:p>
    <w:p>
      <w:pPr>
        <w:spacing w:after="140"/>
      </w:pPr>
      <w:r>
        <w:rPr>
          <w:rFonts w:ascii="Calibri" w:cs="Calibri" w:eastAsia="Calibri" w:hAnsi="Calibri"/>
        </w:rPr>
        <w:t xml:space="preserve">The method behind the templates, the workshops and the readout are in the guide </w:t>
      </w:r>
      <w:r>
        <w:rPr>
          <w:rFonts w:ascii="Calibri" w:cs="Calibri" w:eastAsia="Calibri" w:hAnsi="Calibri"/>
          <w:i/>
          <w:iCs/>
        </w:rPr>
        <w:t xml:space="preserve">Assessing an AI Control Plane Project</w:t>
      </w:r>
      <w:r>
        <w:rPr>
          <w:rFonts w:ascii="Calibri" w:cs="Calibri" w:eastAsia="Calibri" w:hAnsi="Calibri"/>
        </w:rPr>
        <w:t xml:space="preserve"> on the website: </w:t>
      </w:r>
      <w:hyperlink w:history="1" r:id="rIdpzaszififpcjkqtqb9rky">
        <w:r>
          <w:rPr>
            <w:rFonts w:ascii="Calibri" w:cs="Calibri" w:eastAsia="Calibri" w:hAnsi="Calibri"/>
            <w:color w:val="0369A1"/>
            <w:u w:val="single"/>
          </w:rPr>
          <w:t xml:space="preserve">https://johnfisher-ai.github.io/ai-control-plane-handbook/toolkit/</w:t>
        </w:r>
      </w:hyperlink>
      <w:r>
        <w:rPr>
          <w:rFonts w:ascii="Calibri" w:cs="Calibri" w:eastAsia="Calibri" w:hAnsi="Calibri"/>
        </w:rPr>
        <w:t xml:space="preserve">. Section, figure and appendix numbers in the template notes refer to that guide, or to the handbook where the note says so, and each one links to its page.</w:t>
      </w:r>
    </w:p>
    <w:p>
      <w:pPr>
        <w:spacing w:after="140"/>
      </w:pPr>
      <w:r>
        <w:rPr>
          <w:rFonts w:ascii="Calibri" w:cs="Calibri" w:eastAsia="Calibri" w:hAnsi="Calibri"/>
          <w:b/>
          <w:bCs/>
        </w:rPr>
        <w:t xml:space="preserve">Conventions. </w:t>
      </w:r>
      <w:r>
        <w:rPr>
          <w:rFonts w:ascii="Calibri" w:cs="Calibri" w:eastAsia="Calibri" w:hAnsi="Calibri"/>
        </w:rPr>
        <w:t xml:space="preserve">Text in grey italic brackets, such as </w:t>
      </w:r>
      <w:r>
        <w:rPr>
          <w:rFonts w:ascii="Calibri" w:cs="Calibri" w:eastAsia="Calibri" w:hAnsi="Calibri"/>
          <w:i/>
          <w:iCs/>
          <w:color w:val="64748B"/>
        </w:rPr>
        <w:t xml:space="preserve">[Name, title]</w:t>
      </w:r>
      <w:r>
        <w:rPr>
          <w:rFonts w:ascii="Calibri" w:cs="Calibri" w:eastAsia="Calibri" w:hAnsi="Calibri"/>
        </w:rPr>
        <w:t xml:space="preserve">, is a prompt to replace. Add rows as needed, and keep an owner and a date against anything the client has confirmed. Superscript numbers refer to the sources listed at the end, numbered as in the handbook’s endnotes. The firm in Part 2 and all its figures are illustrative.</w:t>
      </w:r>
    </w:p>
    <w:p>
      <w:pPr>
        <w:spacing w:after="140"/>
      </w:pPr>
      <w:r>
        <w:rPr>
          <w:rFonts w:ascii="Calibri" w:cs="Calibri" w:eastAsia="Calibri" w:hAnsi="Calibri"/>
          <w:b/>
          <w:bCs/>
        </w:rPr>
        <w:t xml:space="preserve">License. </w:t>
      </w:r>
      <w:r>
        <w:rPr>
          <w:rFonts w:ascii="Calibri" w:cs="Calibri" w:eastAsia="Calibri" w:hAnsi="Calibri"/>
        </w:rPr>
        <w:t xml:space="preserve">© 2026 John Fisher, licensed under CC BY-NC-ND 4.0, with two additional permissions: you may fill in and adapt these templates to run assessments, and you may adapt them for other work of your own, inside your organization or for clients, including in paid work, if each completed report, readout or adapted version carries the credit line given in the notices at the end. Neither permission covers selling the templates or publishing changed versions of them.</w:t>
      </w:r>
    </w:p>
    <w:p>
      <w:pPr>
        <w:pStyle w:val="Heading2"/>
      </w:pPr>
      <w:r>
        <w:rPr>
          <w:rFonts w:ascii="Calibri" w:cs="Calibri" w:eastAsia="Calibri" w:hAnsi="Calibri"/>
        </w:rPr>
        <w:t xml:space="preserve">Contents</w:t>
      </w:r>
    </w:p>
    <w:p>
      <w:pPr>
        <w:spacing w:after="60" w:before="80"/>
        <w:ind w:left="0"/>
      </w:pPr>
      <w:hyperlink w:history="1" w:anchor="about">
        <w:r>
          <w:rPr>
            <w:rFonts w:ascii="Calibri" w:cs="Calibri" w:eastAsia="Calibri" w:hAnsi="Calibri"/>
            <w:b/>
            <w:bCs/>
            <w:color w:val="0369A1"/>
            <w:sz w:val="22"/>
            <w:szCs w:val="22"/>
          </w:rPr>
          <w:t xml:space="preserve">About this document</w:t>
        </w:r>
      </w:hyperlink>
    </w:p>
    <w:p>
      <w:pPr>
        <w:spacing w:after="60" w:before="80"/>
        <w:ind w:left="0"/>
      </w:pPr>
      <w:hyperlink w:history="1" w:anchor="part1">
        <w:r>
          <w:rPr>
            <w:rFonts w:ascii="Calibri" w:cs="Calibri" w:eastAsia="Calibri" w:hAnsi="Calibri"/>
            <w:b/>
            <w:bCs/>
            <w:color w:val="0369A1"/>
            <w:sz w:val="22"/>
            <w:szCs w:val="22"/>
          </w:rPr>
          <w:t xml:space="preserve">Part 1. Blank templates</w:t>
        </w:r>
      </w:hyperlink>
    </w:p>
    <w:p>
      <w:pPr>
        <w:spacing w:after="20" w:before="0"/>
        <w:ind w:left="360"/>
      </w:pPr>
      <w:hyperlink w:history="1" w:anchor="p1_T1">
        <w:r>
          <w:rPr>
            <w:rFonts w:ascii="Calibri" w:cs="Calibri" w:eastAsia="Calibri" w:hAnsi="Calibri"/>
            <w:b w:val="false"/>
            <w:bCs w:val="false"/>
            <w:color w:val="0369A1"/>
            <w:sz w:val="20"/>
            <w:szCs w:val="20"/>
          </w:rPr>
          <w:t xml:space="preserve">T1. Use case at a glance</w:t>
        </w:r>
      </w:hyperlink>
    </w:p>
    <w:p>
      <w:pPr>
        <w:spacing w:after="20" w:before="0"/>
        <w:ind w:left="360"/>
      </w:pPr>
      <w:hyperlink w:history="1" w:anchor="p1_T2">
        <w:r>
          <w:rPr>
            <w:rFonts w:ascii="Calibri" w:cs="Calibri" w:eastAsia="Calibri" w:hAnsi="Calibri"/>
            <w:b w:val="false"/>
            <w:bCs w:val="false"/>
            <w:color w:val="0369A1"/>
            <w:sz w:val="20"/>
            <w:szCs w:val="20"/>
          </w:rPr>
          <w:t xml:space="preserve">T2. Business case and value hypothesis</w:t>
        </w:r>
      </w:hyperlink>
    </w:p>
    <w:p>
      <w:pPr>
        <w:spacing w:after="20" w:before="0"/>
        <w:ind w:left="360"/>
      </w:pPr>
      <w:hyperlink w:history="1" w:anchor="p1_T3">
        <w:r>
          <w:rPr>
            <w:rFonts w:ascii="Calibri" w:cs="Calibri" w:eastAsia="Calibri" w:hAnsi="Calibri"/>
            <w:b w:val="false"/>
            <w:bCs w:val="false"/>
            <w:color w:val="0369A1"/>
            <w:sz w:val="20"/>
            <w:szCs w:val="20"/>
          </w:rPr>
          <w:t xml:space="preserve">T3. Asset inventory</w:t>
        </w:r>
      </w:hyperlink>
    </w:p>
    <w:p>
      <w:pPr>
        <w:spacing w:after="20" w:before="0"/>
        <w:ind w:left="360"/>
      </w:pPr>
      <w:hyperlink w:history="1" w:anchor="p1_T4">
        <w:r>
          <w:rPr>
            <w:rFonts w:ascii="Calibri" w:cs="Calibri" w:eastAsia="Calibri" w:hAnsi="Calibri"/>
            <w:b w:val="false"/>
            <w:bCs w:val="false"/>
            <w:color w:val="0369A1"/>
            <w:sz w:val="20"/>
            <w:szCs w:val="20"/>
          </w:rPr>
          <w:t xml:space="preserve">T4. Requirements register</w:t>
        </w:r>
      </w:hyperlink>
    </w:p>
    <w:p>
      <w:pPr>
        <w:spacing w:after="20" w:before="0"/>
        <w:ind w:left="360"/>
      </w:pPr>
      <w:hyperlink w:history="1" w:anchor="p1_T5">
        <w:r>
          <w:rPr>
            <w:rFonts w:ascii="Calibri" w:cs="Calibri" w:eastAsia="Calibri" w:hAnsi="Calibri"/>
            <w:b w:val="false"/>
            <w:bCs w:val="false"/>
            <w:color w:val="0369A1"/>
            <w:sz w:val="20"/>
            <w:szCs w:val="20"/>
          </w:rPr>
          <w:t xml:space="preserve">T5. Security and compliance requirements</w:t>
        </w:r>
      </w:hyperlink>
    </w:p>
    <w:p>
      <w:pPr>
        <w:spacing w:after="20" w:before="0"/>
        <w:ind w:left="360"/>
      </w:pPr>
      <w:hyperlink w:history="1" w:anchor="p1_T6">
        <w:r>
          <w:rPr>
            <w:rFonts w:ascii="Calibri" w:cs="Calibri" w:eastAsia="Calibri" w:hAnsi="Calibri"/>
            <w:b w:val="false"/>
            <w:bCs w:val="false"/>
            <w:color w:val="0369A1"/>
            <w:sz w:val="20"/>
            <w:szCs w:val="20"/>
          </w:rPr>
          <w:t xml:space="preserve">T6. KPIs and scorecard</w:t>
        </w:r>
      </w:hyperlink>
    </w:p>
    <w:p>
      <w:pPr>
        <w:spacing w:after="20" w:before="0"/>
        <w:ind w:left="360"/>
      </w:pPr>
      <w:hyperlink w:history="1" w:anchor="p1_T7">
        <w:r>
          <w:rPr>
            <w:rFonts w:ascii="Calibri" w:cs="Calibri" w:eastAsia="Calibri" w:hAnsi="Calibri"/>
            <w:b w:val="false"/>
            <w:bCs w:val="false"/>
            <w:color w:val="0369A1"/>
            <w:sz w:val="20"/>
            <w:szCs w:val="20"/>
          </w:rPr>
          <w:t xml:space="preserve">T7. North-star architecture (vendor-neutral)</w:t>
        </w:r>
      </w:hyperlink>
    </w:p>
    <w:p>
      <w:pPr>
        <w:spacing w:after="20" w:before="0"/>
        <w:ind w:left="360"/>
      </w:pPr>
      <w:hyperlink w:history="1" w:anchor="p1_T8">
        <w:r>
          <w:rPr>
            <w:rFonts w:ascii="Calibri" w:cs="Calibri" w:eastAsia="Calibri" w:hAnsi="Calibri"/>
            <w:b w:val="false"/>
            <w:bCs w:val="false"/>
            <w:color w:val="0369A1"/>
            <w:sz w:val="20"/>
            <w:szCs w:val="20"/>
          </w:rPr>
          <w:t xml:space="preserve">T8. A day in the life</w:t>
        </w:r>
      </w:hyperlink>
    </w:p>
    <w:p>
      <w:pPr>
        <w:spacing w:after="20" w:before="0"/>
        <w:ind w:left="360"/>
      </w:pPr>
      <w:hyperlink w:history="1" w:anchor="p1_T9">
        <w:r>
          <w:rPr>
            <w:rFonts w:ascii="Calibri" w:cs="Calibri" w:eastAsia="Calibri" w:hAnsi="Calibri"/>
            <w:b w:val="false"/>
            <w:bCs w:val="false"/>
            <w:color w:val="0369A1"/>
            <w:sz w:val="20"/>
            <w:szCs w:val="20"/>
          </w:rPr>
          <w:t xml:space="preserve">T9. How the components work together</w:t>
        </w:r>
      </w:hyperlink>
    </w:p>
    <w:p>
      <w:pPr>
        <w:spacing w:after="20" w:before="0"/>
        <w:ind w:left="360"/>
      </w:pPr>
      <w:hyperlink w:history="1" w:anchor="p1_T10">
        <w:r>
          <w:rPr>
            <w:rFonts w:ascii="Calibri" w:cs="Calibri" w:eastAsia="Calibri" w:hAnsi="Calibri"/>
            <w:b w:val="false"/>
            <w:bCs w:val="false"/>
            <w:color w:val="0369A1"/>
            <w:sz w:val="20"/>
            <w:szCs w:val="20"/>
          </w:rPr>
          <w:t xml:space="preserve">T10. Realizing the use case with MuleSoft Agent Fabric and Informatica</w:t>
        </w:r>
      </w:hyperlink>
    </w:p>
    <w:p>
      <w:pPr>
        <w:spacing w:after="20" w:before="0"/>
        <w:ind w:left="360"/>
      </w:pPr>
      <w:hyperlink w:history="1" w:anchor="p1_T11">
        <w:r>
          <w:rPr>
            <w:rFonts w:ascii="Calibri" w:cs="Calibri" w:eastAsia="Calibri" w:hAnsi="Calibri"/>
            <w:b w:val="false"/>
            <w:bCs w:val="false"/>
            <w:color w:val="0369A1"/>
            <w:sz w:val="20"/>
            <w:szCs w:val="20"/>
          </w:rPr>
          <w:t xml:space="preserve">T11. Phased implementation: ROI and business value at every milestone</w:t>
        </w:r>
      </w:hyperlink>
    </w:p>
    <w:p>
      <w:pPr>
        <w:spacing w:after="20" w:before="0"/>
        <w:ind w:left="360"/>
      </w:pPr>
      <w:hyperlink w:history="1" w:anchor="p1_T12">
        <w:r>
          <w:rPr>
            <w:rFonts w:ascii="Calibri" w:cs="Calibri" w:eastAsia="Calibri" w:hAnsi="Calibri"/>
            <w:b w:val="false"/>
            <w:bCs w:val="false"/>
            <w:color w:val="0369A1"/>
            <w:sz w:val="20"/>
            <w:szCs w:val="20"/>
          </w:rPr>
          <w:t xml:space="preserve">T12. Decisions, risks and next steps</w:t>
        </w:r>
      </w:hyperlink>
    </w:p>
    <w:p>
      <w:pPr>
        <w:spacing w:after="20" w:before="0"/>
        <w:ind w:left="360"/>
      </w:pPr>
      <w:hyperlink w:history="1" w:anchor="p1_T13">
        <w:r>
          <w:rPr>
            <w:rFonts w:ascii="Calibri" w:cs="Calibri" w:eastAsia="Calibri" w:hAnsi="Calibri"/>
            <w:b w:val="false"/>
            <w:bCs w:val="false"/>
            <w:color w:val="0369A1"/>
            <w:sz w:val="20"/>
            <w:szCs w:val="20"/>
          </w:rPr>
          <w:t xml:space="preserve">T13. Operating model and adoption plan</w:t>
        </w:r>
      </w:hyperlink>
    </w:p>
    <w:p>
      <w:pPr>
        <w:spacing w:after="60" w:before="80"/>
        <w:ind w:left="0"/>
      </w:pPr>
      <w:hyperlink w:history="1" w:anchor="part2">
        <w:r>
          <w:rPr>
            <w:rFonts w:ascii="Calibri" w:cs="Calibri" w:eastAsia="Calibri" w:hAnsi="Calibri"/>
            <w:b/>
            <w:bCs/>
            <w:color w:val="0369A1"/>
            <w:sz w:val="22"/>
            <w:szCs w:val="22"/>
          </w:rPr>
          <w:t xml:space="preserve">Part 2. Templates filled in for use case 1</w:t>
        </w:r>
      </w:hyperlink>
    </w:p>
    <w:p>
      <w:pPr>
        <w:spacing w:after="20" w:before="0"/>
        <w:ind w:left="360"/>
      </w:pPr>
      <w:hyperlink w:history="1" w:anchor="p2_T1">
        <w:r>
          <w:rPr>
            <w:rFonts w:ascii="Calibri" w:cs="Calibri" w:eastAsia="Calibri" w:hAnsi="Calibri"/>
            <w:b w:val="false"/>
            <w:bCs w:val="false"/>
            <w:color w:val="0369A1"/>
            <w:sz w:val="20"/>
            <w:szCs w:val="20"/>
          </w:rPr>
          <w:t xml:space="preserve">T1 filled: use case at a glance</w:t>
        </w:r>
      </w:hyperlink>
    </w:p>
    <w:p>
      <w:pPr>
        <w:spacing w:after="20" w:before="0"/>
        <w:ind w:left="360"/>
      </w:pPr>
      <w:hyperlink w:history="1" w:anchor="p2_T2">
        <w:r>
          <w:rPr>
            <w:rFonts w:ascii="Calibri" w:cs="Calibri" w:eastAsia="Calibri" w:hAnsi="Calibri"/>
            <w:b w:val="false"/>
            <w:bCs w:val="false"/>
            <w:color w:val="0369A1"/>
            <w:sz w:val="20"/>
            <w:szCs w:val="20"/>
          </w:rPr>
          <w:t xml:space="preserve">T2 filled: business case and value hypothesis</w:t>
        </w:r>
      </w:hyperlink>
    </w:p>
    <w:p>
      <w:pPr>
        <w:spacing w:after="20" w:before="0"/>
        <w:ind w:left="360"/>
      </w:pPr>
      <w:hyperlink w:history="1" w:anchor="p2_T3">
        <w:r>
          <w:rPr>
            <w:rFonts w:ascii="Calibri" w:cs="Calibri" w:eastAsia="Calibri" w:hAnsi="Calibri"/>
            <w:b w:val="false"/>
            <w:bCs w:val="false"/>
            <w:color w:val="0369A1"/>
            <w:sz w:val="20"/>
            <w:szCs w:val="20"/>
          </w:rPr>
          <w:t xml:space="preserve">T3 filled: asset inventory</w:t>
        </w:r>
      </w:hyperlink>
    </w:p>
    <w:p>
      <w:pPr>
        <w:spacing w:after="20" w:before="0"/>
        <w:ind w:left="360"/>
      </w:pPr>
      <w:hyperlink w:history="1" w:anchor="p2_T4">
        <w:r>
          <w:rPr>
            <w:rFonts w:ascii="Calibri" w:cs="Calibri" w:eastAsia="Calibri" w:hAnsi="Calibri"/>
            <w:b w:val="false"/>
            <w:bCs w:val="false"/>
            <w:color w:val="0369A1"/>
            <w:sz w:val="20"/>
            <w:szCs w:val="20"/>
          </w:rPr>
          <w:t xml:space="preserve">T4 filled: requirements register</w:t>
        </w:r>
      </w:hyperlink>
    </w:p>
    <w:p>
      <w:pPr>
        <w:spacing w:after="20" w:before="0"/>
        <w:ind w:left="360"/>
      </w:pPr>
      <w:hyperlink w:history="1" w:anchor="p2_T5">
        <w:r>
          <w:rPr>
            <w:rFonts w:ascii="Calibri" w:cs="Calibri" w:eastAsia="Calibri" w:hAnsi="Calibri"/>
            <w:b w:val="false"/>
            <w:bCs w:val="false"/>
            <w:color w:val="0369A1"/>
            <w:sz w:val="20"/>
            <w:szCs w:val="20"/>
          </w:rPr>
          <w:t xml:space="preserve">T5 filled: security and compliance requirements</w:t>
        </w:r>
      </w:hyperlink>
    </w:p>
    <w:p>
      <w:pPr>
        <w:spacing w:after="20" w:before="0"/>
        <w:ind w:left="360"/>
      </w:pPr>
      <w:hyperlink w:history="1" w:anchor="p2_T6">
        <w:r>
          <w:rPr>
            <w:rFonts w:ascii="Calibri" w:cs="Calibri" w:eastAsia="Calibri" w:hAnsi="Calibri"/>
            <w:b w:val="false"/>
            <w:bCs w:val="false"/>
            <w:color w:val="0369A1"/>
            <w:sz w:val="20"/>
            <w:szCs w:val="20"/>
          </w:rPr>
          <w:t xml:space="preserve">T6 filled: KPIs and scorecard</w:t>
        </w:r>
      </w:hyperlink>
    </w:p>
    <w:p>
      <w:pPr>
        <w:spacing w:after="20" w:before="0"/>
        <w:ind w:left="360"/>
      </w:pPr>
      <w:hyperlink w:history="1" w:anchor="p2_T7">
        <w:r>
          <w:rPr>
            <w:rFonts w:ascii="Calibri" w:cs="Calibri" w:eastAsia="Calibri" w:hAnsi="Calibri"/>
            <w:b w:val="false"/>
            <w:bCs w:val="false"/>
            <w:color w:val="0369A1"/>
            <w:sz w:val="20"/>
            <w:szCs w:val="20"/>
          </w:rPr>
          <w:t xml:space="preserve">T7 filled: north-star architecture (vendor-neutral)</w:t>
        </w:r>
      </w:hyperlink>
    </w:p>
    <w:p>
      <w:pPr>
        <w:spacing w:after="20" w:before="0"/>
        <w:ind w:left="360"/>
      </w:pPr>
      <w:hyperlink w:history="1" w:anchor="p2_T8">
        <w:r>
          <w:rPr>
            <w:rFonts w:ascii="Calibri" w:cs="Calibri" w:eastAsia="Calibri" w:hAnsi="Calibri"/>
            <w:b w:val="false"/>
            <w:bCs w:val="false"/>
            <w:color w:val="0369A1"/>
            <w:sz w:val="20"/>
            <w:szCs w:val="20"/>
          </w:rPr>
          <w:t xml:space="preserve">T8 filled: a day in the life</w:t>
        </w:r>
      </w:hyperlink>
    </w:p>
    <w:p>
      <w:pPr>
        <w:spacing w:after="20" w:before="0"/>
        <w:ind w:left="360"/>
      </w:pPr>
      <w:hyperlink w:history="1" w:anchor="p2_T9">
        <w:r>
          <w:rPr>
            <w:rFonts w:ascii="Calibri" w:cs="Calibri" w:eastAsia="Calibri" w:hAnsi="Calibri"/>
            <w:b w:val="false"/>
            <w:bCs w:val="false"/>
            <w:color w:val="0369A1"/>
            <w:sz w:val="20"/>
            <w:szCs w:val="20"/>
          </w:rPr>
          <w:t xml:space="preserve">T9 filled: how the components work together</w:t>
        </w:r>
      </w:hyperlink>
    </w:p>
    <w:p>
      <w:pPr>
        <w:spacing w:after="20" w:before="0"/>
        <w:ind w:left="360"/>
      </w:pPr>
      <w:hyperlink w:history="1" w:anchor="p2_T10">
        <w:r>
          <w:rPr>
            <w:rFonts w:ascii="Calibri" w:cs="Calibri" w:eastAsia="Calibri" w:hAnsi="Calibri"/>
            <w:b w:val="false"/>
            <w:bCs w:val="false"/>
            <w:color w:val="0369A1"/>
            <w:sz w:val="20"/>
            <w:szCs w:val="20"/>
          </w:rPr>
          <w:t xml:space="preserve">T10 filled: realizing the use case with MuleSoft Agent Fabric and Informatica</w:t>
        </w:r>
      </w:hyperlink>
    </w:p>
    <w:p>
      <w:pPr>
        <w:spacing w:after="20" w:before="0"/>
        <w:ind w:left="360"/>
      </w:pPr>
      <w:hyperlink w:history="1" w:anchor="p2_T11">
        <w:r>
          <w:rPr>
            <w:rFonts w:ascii="Calibri" w:cs="Calibri" w:eastAsia="Calibri" w:hAnsi="Calibri"/>
            <w:b w:val="false"/>
            <w:bCs w:val="false"/>
            <w:color w:val="0369A1"/>
            <w:sz w:val="20"/>
            <w:szCs w:val="20"/>
          </w:rPr>
          <w:t xml:space="preserve">T11 filled: phased implementation with ROI and business value</w:t>
        </w:r>
      </w:hyperlink>
    </w:p>
    <w:p>
      <w:pPr>
        <w:spacing w:after="20" w:before="0"/>
        <w:ind w:left="360"/>
      </w:pPr>
      <w:hyperlink w:history="1" w:anchor="p2_T12">
        <w:r>
          <w:rPr>
            <w:rFonts w:ascii="Calibri" w:cs="Calibri" w:eastAsia="Calibri" w:hAnsi="Calibri"/>
            <w:b w:val="false"/>
            <w:bCs w:val="false"/>
            <w:color w:val="0369A1"/>
            <w:sz w:val="20"/>
            <w:szCs w:val="20"/>
          </w:rPr>
          <w:t xml:space="preserve">T12 filled: decisions, risks and next steps</w:t>
        </w:r>
      </w:hyperlink>
    </w:p>
    <w:p>
      <w:pPr>
        <w:spacing w:after="20" w:before="0"/>
        <w:ind w:left="360"/>
      </w:pPr>
      <w:hyperlink w:history="1" w:anchor="p2_T13">
        <w:r>
          <w:rPr>
            <w:rFonts w:ascii="Calibri" w:cs="Calibri" w:eastAsia="Calibri" w:hAnsi="Calibri"/>
            <w:b w:val="false"/>
            <w:bCs w:val="false"/>
            <w:color w:val="0369A1"/>
            <w:sz w:val="20"/>
            <w:szCs w:val="20"/>
          </w:rPr>
          <w:t xml:space="preserve">T13 filled: operating model and adoption plan</w:t>
        </w:r>
      </w:hyperlink>
    </w:p>
    <w:p>
      <w:pPr>
        <w:spacing w:after="60" w:before="80"/>
        <w:ind w:left="0"/>
      </w:pPr>
      <w:hyperlink w:history="1" w:anchor="sources">
        <w:r>
          <w:rPr>
            <w:rFonts w:ascii="Calibri" w:cs="Calibri" w:eastAsia="Calibri" w:hAnsi="Calibri"/>
            <w:b/>
            <w:bCs/>
            <w:color w:val="0369A1"/>
            <w:sz w:val="22"/>
            <w:szCs w:val="22"/>
          </w:rPr>
          <w:t xml:space="preserve">Sources</w:t>
        </w:r>
      </w:hyperlink>
    </w:p>
    <w:p>
      <w:pPr>
        <w:spacing w:after="60" w:before="80"/>
        <w:ind w:left="0"/>
      </w:pPr>
      <w:hyperlink w:history="1" w:anchor="notices">
        <w:r>
          <w:rPr>
            <w:rFonts w:ascii="Calibri" w:cs="Calibri" w:eastAsia="Calibri" w:hAnsi="Calibri"/>
            <w:b/>
            <w:bCs/>
            <w:color w:val="0369A1"/>
            <w:sz w:val="22"/>
            <w:szCs w:val="22"/>
          </w:rPr>
          <w:t xml:space="preserve">Notices and disclosures</w:t>
        </w:r>
      </w:hyperlink>
    </w:p>
    <w:p>
      <w:pPr>
        <w:spacing w:after="60" w:before="80"/>
        <w:ind w:left="0"/>
      </w:pPr>
      <w:hyperlink w:history="1" w:anchor="author">
        <w:r>
          <w:rPr>
            <w:rFonts w:ascii="Calibri" w:cs="Calibri" w:eastAsia="Calibri" w:hAnsi="Calibri"/>
            <w:b/>
            <w:bCs/>
            <w:color w:val="0369A1"/>
            <w:sz w:val="22"/>
            <w:szCs w:val="22"/>
          </w:rPr>
          <w:t xml:space="preserve">About John Fisher</w:t>
        </w:r>
      </w:hyperlink>
    </w:p>
    <w:p>
      <w:pPr>
        <w:pStyle w:val="Heading1"/>
        <w:keepNext/>
        <w:pageBreakBefore/>
      </w:pPr>
      <w:bookmarkStart w:name="part1" w:id="2"/>
      <w:r>
        <w:rPr>
          <w:rFonts w:ascii="Calibri" w:cs="Calibri" w:eastAsia="Calibri" w:hAnsi="Calibri"/>
        </w:rPr>
        <w:t xml:space="preserve">Part 1. Blank templates</w:t>
      </w:r>
      <w:bookmarkEnd w:id="2"/>
    </w:p>
    <w:p>
      <w:pPr>
        <w:spacing w:after="140"/>
      </w:pPr>
      <w:r>
        <w:rPr>
          <w:rFonts w:ascii="Calibri" w:cs="Calibri" w:eastAsia="Calibri" w:hAnsi="Calibri"/>
        </w:rPr>
        <w:t xml:space="preserve">Each template starts with a note on how to use it: its purpose, when to fill it, who owns it, how to fill it and what it feeds. The client-facing report template on the website has the same structure, so the filled templates carry straight into the report.</w:t>
      </w:r>
    </w:p>
    <w:p>
      <w:pPr>
        <w:spacing w:after="140"/>
      </w:pPr>
      <w:r>
        <w:rPr>
          <w:rFonts w:ascii="Calibri" w:cs="Calibri" w:eastAsia="Calibri" w:hAnsi="Calibri"/>
        </w:rPr>
        <w:t xml:space="preserve">Fill the templates in the order of the six steps. Replace every bracketed prompt, add rows as needed, and keep an owner and a date against anything the client has confirmed.</w:t>
      </w:r>
    </w:p>
    <w:tbl>
      <w:tblPr>
        <w:tblW w:type="dxa" w:w="9360"/>
        <w:tblBorders>
          <w:top w:val="single" w:color="CBD5E1" w:sz="4"/>
          <w:left w:val="single" w:color="CBD5E1" w:sz="4"/>
          <w:bottom w:val="single" w:color="CBD5E1" w:sz="4"/>
          <w:right w:val="single" w:color="CBD5E1" w:sz="4"/>
          <w:insideH w:val="single" w:color="CBD5E1" w:sz="4"/>
          <w:insideV w:val="single" w:color="CBD5E1" w:sz="4"/>
        </w:tblBorders>
        <w:tblLayout w:type="fixed"/>
      </w:tblPr>
      <w:tblGrid>
        <w:gridCol w:w="1136"/>
        <w:gridCol w:w="2220"/>
        <w:gridCol w:w="1040"/>
        <w:gridCol w:w="2158"/>
        <w:gridCol w:w="2806"/>
      </w:tblGrid>
      <w:tr>
        <w:trPr>
          <w:cantSplit/>
          <w:tblHeader/>
        </w:trPr>
        <w:tc>
          <w:tcPr>
            <w:tcW w:type="dxa" w:w="1136"/>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Template</w:t>
            </w:r>
          </w:p>
        </w:tc>
        <w:tc>
          <w:tcPr>
            <w:tcW w:type="dxa" w:w="2220"/>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Name</w:t>
            </w:r>
          </w:p>
        </w:tc>
        <w:tc>
          <w:tcPr>
            <w:tcW w:type="dxa" w:w="1040"/>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Step</w:t>
            </w:r>
          </w:p>
        </w:tc>
        <w:tc>
          <w:tcPr>
            <w:tcW w:type="dxa" w:w="2158"/>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Owner</w:t>
            </w:r>
          </w:p>
        </w:tc>
        <w:tc>
          <w:tcPr>
            <w:tcW w:type="dxa" w:w="2806"/>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Feeds</w:t>
            </w:r>
          </w:p>
        </w:tc>
      </w:tr>
      <w:tr>
        <w:trPr>
          <w:cantSplit/>
          <w:tblHeader w:val="false"/>
        </w:trPr>
        <w:tc>
          <w:tcPr>
            <w:tcW w:type="dxa" w:w="1136"/>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T1</w:t>
            </w:r>
          </w:p>
        </w:tc>
        <w:tc>
          <w:tcPr>
            <w:tcW w:type="dxa" w:w="222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Use case at a glance</w:t>
            </w:r>
          </w:p>
        </w:tc>
        <w:tc>
          <w:tcPr>
            <w:tcW w:type="dxa" w:w="10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Frame</w:t>
            </w:r>
          </w:p>
        </w:tc>
        <w:tc>
          <w:tcPr>
            <w:tcW w:type="dxa" w:w="215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Engagement lead and the business owner</w:t>
            </w:r>
          </w:p>
        </w:tc>
        <w:tc>
          <w:tcPr>
            <w:tcW w:type="dxa" w:w="2806"/>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Deck: The use case, At a glance</w:t>
            </w:r>
          </w:p>
          <w:p>
            <w:pPr>
              <w:spacing w:after="0" w:before="0" w:line="252"/>
            </w:pPr>
            <w:r>
              <w:rPr>
                <w:rFonts w:ascii="Calibri" w:cs="Calibri" w:eastAsia="Calibri" w:hAnsi="Calibri"/>
                <w:sz w:val="18"/>
                <w:szCs w:val="18"/>
              </w:rPr>
              <w:t xml:space="preserve">Report: sections 1–2</w:t>
            </w:r>
          </w:p>
        </w:tc>
      </w:tr>
      <w:tr>
        <w:trPr>
          <w:cantSplit/>
          <w:tblHeader w:val="false"/>
        </w:trPr>
        <w:tc>
          <w:tcPr>
            <w:tcW w:type="dxa" w:w="1136"/>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T2</w:t>
            </w:r>
          </w:p>
        </w:tc>
        <w:tc>
          <w:tcPr>
            <w:tcW w:type="dxa" w:w="222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Business case and value hypothesis</w:t>
            </w:r>
          </w:p>
        </w:tc>
        <w:tc>
          <w:tcPr>
            <w:tcW w:type="dxa" w:w="10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Frame</w:t>
            </w:r>
          </w:p>
        </w:tc>
        <w:tc>
          <w:tcPr>
            <w:tcW w:type="dxa" w:w="215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Engagement lead and finance</w:t>
            </w:r>
          </w:p>
        </w:tc>
        <w:tc>
          <w:tcPr>
            <w:tcW w:type="dxa" w:w="2806"/>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Deck: The value at stake. Report: section 4</w:t>
            </w:r>
          </w:p>
        </w:tc>
      </w:tr>
      <w:tr>
        <w:trPr>
          <w:cantSplit/>
          <w:tblHeader w:val="false"/>
        </w:trPr>
        <w:tc>
          <w:tcPr>
            <w:tcW w:type="dxa" w:w="1136"/>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T3</w:t>
            </w:r>
          </w:p>
        </w:tc>
        <w:tc>
          <w:tcPr>
            <w:tcW w:type="dxa" w:w="222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Asset inventory (T3a to T3h)</w:t>
            </w:r>
          </w:p>
        </w:tc>
        <w:tc>
          <w:tcPr>
            <w:tcW w:type="dxa" w:w="10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Discover</w:t>
            </w:r>
          </w:p>
        </w:tc>
        <w:tc>
          <w:tcPr>
            <w:tcW w:type="dxa" w:w="215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Lead architect with the owners</w:t>
            </w:r>
          </w:p>
        </w:tc>
        <w:tc>
          <w:tcPr>
            <w:tcW w:type="dxa" w:w="2806"/>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Deck: Discovery, Asset inventory</w:t>
            </w:r>
          </w:p>
          <w:p>
            <w:pPr>
              <w:spacing w:after="0" w:before="0" w:line="252"/>
            </w:pPr>
            <w:r>
              <w:rPr>
                <w:rFonts w:ascii="Calibri" w:cs="Calibri" w:eastAsia="Calibri" w:hAnsi="Calibri"/>
                <w:sz w:val="18"/>
                <w:szCs w:val="18"/>
              </w:rPr>
              <w:t xml:space="preserve">Report: section 3 and appendix</w:t>
            </w:r>
          </w:p>
        </w:tc>
      </w:tr>
      <w:tr>
        <w:trPr>
          <w:cantSplit/>
          <w:tblHeader w:val="false"/>
        </w:trPr>
        <w:tc>
          <w:tcPr>
            <w:tcW w:type="dxa" w:w="1136"/>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T4</w:t>
            </w:r>
          </w:p>
        </w:tc>
        <w:tc>
          <w:tcPr>
            <w:tcW w:type="dxa" w:w="222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Requirements register</w:t>
            </w:r>
          </w:p>
        </w:tc>
        <w:tc>
          <w:tcPr>
            <w:tcW w:type="dxa" w:w="10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Define</w:t>
            </w:r>
          </w:p>
        </w:tc>
        <w:tc>
          <w:tcPr>
            <w:tcW w:type="dxa" w:w="215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Lead architect with the business owner</w:t>
            </w:r>
          </w:p>
        </w:tc>
        <w:tc>
          <w:tcPr>
            <w:tcW w:type="dxa" w:w="2806"/>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Deck: Requirements. Report: section 5 and appendix</w:t>
            </w:r>
          </w:p>
        </w:tc>
      </w:tr>
      <w:tr>
        <w:trPr>
          <w:cantSplit/>
          <w:tblHeader w:val="false"/>
        </w:trPr>
        <w:tc>
          <w:tcPr>
            <w:tcW w:type="dxa" w:w="1136"/>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T5</w:t>
            </w:r>
          </w:p>
        </w:tc>
        <w:tc>
          <w:tcPr>
            <w:tcW w:type="dxa" w:w="222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Security and compliance requirements</w:t>
            </w:r>
          </w:p>
        </w:tc>
        <w:tc>
          <w:tcPr>
            <w:tcW w:type="dxa" w:w="10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Define</w:t>
            </w:r>
          </w:p>
        </w:tc>
        <w:tc>
          <w:tcPr>
            <w:tcW w:type="dxa" w:w="215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Lead architect with the CISO</w:t>
            </w:r>
          </w:p>
        </w:tc>
        <w:tc>
          <w:tcPr>
            <w:tcW w:type="dxa" w:w="2806"/>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Deck: Security. Report: section 6</w:t>
            </w:r>
          </w:p>
        </w:tc>
      </w:tr>
      <w:tr>
        <w:trPr>
          <w:cantSplit/>
          <w:tblHeader w:val="false"/>
        </w:trPr>
        <w:tc>
          <w:tcPr>
            <w:tcW w:type="dxa" w:w="1136"/>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T6</w:t>
            </w:r>
          </w:p>
        </w:tc>
        <w:tc>
          <w:tcPr>
            <w:tcW w:type="dxa" w:w="222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KPIs and scorecard</w:t>
            </w:r>
          </w:p>
        </w:tc>
        <w:tc>
          <w:tcPr>
            <w:tcW w:type="dxa" w:w="10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Discover and phase</w:t>
            </w:r>
          </w:p>
        </w:tc>
        <w:tc>
          <w:tcPr>
            <w:tcW w:type="dxa" w:w="215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Engagement lead and lead architect with finance</w:t>
            </w:r>
          </w:p>
        </w:tc>
        <w:tc>
          <w:tcPr>
            <w:tcW w:type="dxa" w:w="2806"/>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Deck: KPIs at every milestone. Report: sections 4 and 11</w:t>
            </w:r>
          </w:p>
        </w:tc>
      </w:tr>
      <w:tr>
        <w:trPr>
          <w:cantSplit/>
          <w:tblHeader w:val="false"/>
        </w:trPr>
        <w:tc>
          <w:tcPr>
            <w:tcW w:type="dxa" w:w="1136"/>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T7</w:t>
            </w:r>
          </w:p>
        </w:tc>
        <w:tc>
          <w:tcPr>
            <w:tcW w:type="dxa" w:w="222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North-star architecture (vendor-neutral)</w:t>
            </w:r>
          </w:p>
        </w:tc>
        <w:tc>
          <w:tcPr>
            <w:tcW w:type="dxa" w:w="10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Design</w:t>
            </w:r>
          </w:p>
        </w:tc>
        <w:tc>
          <w:tcPr>
            <w:tcW w:type="dxa" w:w="215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Lead architect with the enterprise architect</w:t>
            </w:r>
          </w:p>
        </w:tc>
        <w:tc>
          <w:tcPr>
            <w:tcW w:type="dxa" w:w="2806"/>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Deck: Vendor-neutral architecture. Report: section 7</w:t>
            </w:r>
          </w:p>
        </w:tc>
      </w:tr>
      <w:tr>
        <w:trPr>
          <w:cantSplit/>
          <w:tblHeader w:val="false"/>
        </w:trPr>
        <w:tc>
          <w:tcPr>
            <w:tcW w:type="dxa" w:w="1136"/>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T8</w:t>
            </w:r>
          </w:p>
        </w:tc>
        <w:tc>
          <w:tcPr>
            <w:tcW w:type="dxa" w:w="222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 day in the life</w:t>
            </w:r>
          </w:p>
        </w:tc>
        <w:tc>
          <w:tcPr>
            <w:tcW w:type="dxa" w:w="10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Design</w:t>
            </w:r>
          </w:p>
        </w:tc>
        <w:tc>
          <w:tcPr>
            <w:tcW w:type="dxa" w:w="215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Lead architect with a user</w:t>
            </w:r>
          </w:p>
        </w:tc>
        <w:tc>
          <w:tcPr>
            <w:tcW w:type="dxa" w:w="2806"/>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Deck: A day in the life. Report: section 8</w:t>
            </w:r>
          </w:p>
        </w:tc>
      </w:tr>
      <w:tr>
        <w:trPr>
          <w:cantSplit/>
          <w:tblHeader w:val="false"/>
        </w:trPr>
        <w:tc>
          <w:tcPr>
            <w:tcW w:type="dxa" w:w="1136"/>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T9</w:t>
            </w:r>
          </w:p>
        </w:tc>
        <w:tc>
          <w:tcPr>
            <w:tcW w:type="dxa" w:w="222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How the components work together</w:t>
            </w:r>
          </w:p>
        </w:tc>
        <w:tc>
          <w:tcPr>
            <w:tcW w:type="dxa" w:w="10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Design</w:t>
            </w:r>
          </w:p>
        </w:tc>
        <w:tc>
          <w:tcPr>
            <w:tcW w:type="dxa" w:w="215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Lead architect</w:t>
            </w:r>
          </w:p>
        </w:tc>
        <w:tc>
          <w:tcPr>
            <w:tcW w:type="dxa" w:w="2806"/>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Deck: Component interaction. Report: section 8</w:t>
            </w:r>
          </w:p>
        </w:tc>
      </w:tr>
      <w:tr>
        <w:trPr>
          <w:cantSplit/>
          <w:tblHeader w:val="false"/>
        </w:trPr>
        <w:tc>
          <w:tcPr>
            <w:tcW w:type="dxa" w:w="1136"/>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T10</w:t>
            </w:r>
          </w:p>
        </w:tc>
        <w:tc>
          <w:tcPr>
            <w:tcW w:type="dxa" w:w="222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Realizing the use case with MuleSoft Agent Fabric and Informatica</w:t>
            </w:r>
          </w:p>
        </w:tc>
        <w:tc>
          <w:tcPr>
            <w:tcW w:type="dxa" w:w="10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Design</w:t>
            </w:r>
          </w:p>
        </w:tc>
        <w:tc>
          <w:tcPr>
            <w:tcW w:type="dxa" w:w="215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Lead architect with specialists</w:t>
            </w:r>
          </w:p>
        </w:tc>
        <w:tc>
          <w:tcPr>
            <w:tcW w:type="dxa" w:w="2806"/>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Deck: Realized, Mapping, Coexistence</w:t>
            </w:r>
          </w:p>
          <w:p>
            <w:pPr>
              <w:spacing w:after="0" w:before="0" w:line="252"/>
            </w:pPr>
            <w:r>
              <w:rPr>
                <w:rFonts w:ascii="Calibri" w:cs="Calibri" w:eastAsia="Calibri" w:hAnsi="Calibri"/>
                <w:sz w:val="18"/>
                <w:szCs w:val="18"/>
              </w:rPr>
              <w:t xml:space="preserve">Report: section 9</w:t>
            </w:r>
          </w:p>
        </w:tc>
      </w:tr>
      <w:tr>
        <w:trPr>
          <w:cantSplit/>
          <w:tblHeader w:val="false"/>
        </w:trPr>
        <w:tc>
          <w:tcPr>
            <w:tcW w:type="dxa" w:w="1136"/>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T11</w:t>
            </w:r>
          </w:p>
        </w:tc>
        <w:tc>
          <w:tcPr>
            <w:tcW w:type="dxa" w:w="222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Phased implementation: ROI and business value at every milestone</w:t>
            </w:r>
          </w:p>
        </w:tc>
        <w:tc>
          <w:tcPr>
            <w:tcW w:type="dxa" w:w="10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Phase</w:t>
            </w:r>
          </w:p>
        </w:tc>
        <w:tc>
          <w:tcPr>
            <w:tcW w:type="dxa" w:w="215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Engagement lead and lead architect with finance</w:t>
            </w:r>
          </w:p>
        </w:tc>
        <w:tc>
          <w:tcPr>
            <w:tcW w:type="dxa" w:w="2806"/>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Deck: Phased plan, Value</w:t>
            </w:r>
          </w:p>
          <w:p>
            <w:pPr>
              <w:spacing w:after="0" w:before="0" w:line="252"/>
            </w:pPr>
            <w:r>
              <w:rPr>
                <w:rFonts w:ascii="Calibri" w:cs="Calibri" w:eastAsia="Calibri" w:hAnsi="Calibri"/>
                <w:sz w:val="18"/>
                <w:szCs w:val="18"/>
              </w:rPr>
              <w:t xml:space="preserve">Report: sections 10–11</w:t>
            </w:r>
          </w:p>
        </w:tc>
      </w:tr>
      <w:tr>
        <w:trPr>
          <w:cantSplit/>
          <w:tblHeader w:val="false"/>
        </w:trPr>
        <w:tc>
          <w:tcPr>
            <w:tcW w:type="dxa" w:w="1136"/>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T12</w:t>
            </w:r>
          </w:p>
        </w:tc>
        <w:tc>
          <w:tcPr>
            <w:tcW w:type="dxa" w:w="222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Decisions, risks and next steps</w:t>
            </w:r>
          </w:p>
        </w:tc>
        <w:tc>
          <w:tcPr>
            <w:tcW w:type="dxa" w:w="10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Decide</w:t>
            </w:r>
          </w:p>
        </w:tc>
        <w:tc>
          <w:tcPr>
            <w:tcW w:type="dxa" w:w="215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Engagement lead</w:t>
            </w:r>
          </w:p>
        </w:tc>
        <w:tc>
          <w:tcPr>
            <w:tcW w:type="dxa" w:w="2806"/>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Deck: Decisions. Report: section 12</w:t>
            </w:r>
          </w:p>
        </w:tc>
      </w:tr>
      <w:tr>
        <w:trPr>
          <w:cantSplit/>
          <w:tblHeader w:val="false"/>
        </w:trPr>
        <w:tc>
          <w:tcPr>
            <w:tcW w:type="dxa" w:w="1136"/>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T13</w:t>
            </w:r>
          </w:p>
        </w:tc>
        <w:tc>
          <w:tcPr>
            <w:tcW w:type="dxa" w:w="222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Operating model and adoption plan</w:t>
            </w:r>
          </w:p>
        </w:tc>
        <w:tc>
          <w:tcPr>
            <w:tcW w:type="dxa" w:w="10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Phase and decide</w:t>
            </w:r>
          </w:p>
        </w:tc>
        <w:tc>
          <w:tcPr>
            <w:tcW w:type="dxa" w:w="215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Engagement lead, the sponsor and HR</w:t>
            </w:r>
          </w:p>
        </w:tc>
        <w:tc>
          <w:tcPr>
            <w:tcW w:type="dxa" w:w="2806"/>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Deck: Operating model. Report: sections 10 and 12</w:t>
            </w:r>
          </w:p>
        </w:tc>
      </w:tr>
    </w:tbl>
    <w:p>
      <w:pPr>
        <w:spacing w:after="120"/>
      </w:pPr>
    </w:p>
    <w:p>
      <w:pPr>
        <w:pStyle w:val="Heading2"/>
        <w:keepNext/>
        <w:pageBreakBefore/>
      </w:pPr>
      <w:bookmarkStart w:name="p1_T1" w:id="3"/>
      <w:r>
        <w:rPr>
          <w:rFonts w:ascii="Calibri" w:cs="Calibri" w:eastAsia="Calibri" w:hAnsi="Calibri"/>
        </w:rPr>
        <w:t xml:space="preserve">T1. Use case at a glance</w:t>
      </w:r>
      <w:bookmarkEnd w:id="3"/>
    </w:p>
    <w:tbl>
      <w:tblPr>
        <w:tblW w:type="dxa" w:w="9360"/>
        <w:tblBorders>
          <w:top w:val="single" w:color="B6D4EA" w:sz="4"/>
          <w:left w:val="single" w:color="B6D4EA" w:sz="4"/>
          <w:bottom w:val="single" w:color="B6D4EA" w:sz="4"/>
          <w:right w:val="single" w:color="B6D4EA" w:sz="4"/>
          <w:insideH w:val="single" w:color="B6D4EA" w:sz="4"/>
          <w:insideV w:val="single" w:color="B6D4EA" w:sz="4"/>
        </w:tblBorders>
        <w:tblLayout w:type="fixed"/>
      </w:tblPr>
      <w:tblGrid>
        <w:gridCol w:w="9360"/>
      </w:tblGrid>
      <w:tr>
        <w:trPr>
          <w:cantSplit/>
        </w:trPr>
        <w:tc>
          <w:tcPr>
            <w:tcW w:type="dxa" w:w="9360"/>
            <w:shd w:fill="EEF6FC" w:color="auto" w:val="clear"/>
            <w:tcMar>
              <w:top w:type="dxa" w:w="140"/>
              <w:left w:type="dxa" w:w="200"/>
              <w:bottom w:type="dxa" w:w="140"/>
              <w:right w:type="dxa" w:w="200"/>
            </w:tcMar>
          </w:tcPr>
          <w:p>
            <w:pPr>
              <w:spacing w:after="100"/>
            </w:pPr>
            <w:r>
              <w:rPr>
                <w:rFonts w:ascii="Calibri" w:cs="Calibri" w:eastAsia="Calibri" w:hAnsi="Calibri"/>
                <w:b/>
                <w:bCs/>
                <w:color w:val="0369A1"/>
                <w:sz w:val="22"/>
                <w:szCs w:val="22"/>
              </w:rPr>
              <w:t xml:space="preserve">How to use T1</w:t>
            </w:r>
          </w:p>
          <w:p>
            <w:pPr>
              <w:spacing w:after="80"/>
            </w:pPr>
            <w:r>
              <w:rPr>
                <w:rFonts w:ascii="Calibri" w:cs="Calibri" w:eastAsia="Calibri" w:hAnsi="Calibri"/>
                <w:b/>
                <w:bCs/>
                <w:sz w:val="20"/>
                <w:szCs w:val="20"/>
              </w:rPr>
              <w:t xml:space="preserve">Purpose.</w:t>
            </w:r>
            <w:r>
              <w:rPr>
                <w:rFonts w:ascii="Calibri" w:cs="Calibri" w:eastAsia="Calibri" w:hAnsi="Calibri"/>
                <w:sz w:val="20"/>
                <w:szCs w:val="20"/>
              </w:rPr>
              <w:t xml:space="preserve">  Describe the use case on one page, in the client’s words, so everyone agrees what is in and out of scope.</w:t>
            </w:r>
          </w:p>
          <w:p>
            <w:pPr>
              <w:spacing w:after="80"/>
            </w:pPr>
            <w:r>
              <w:rPr>
                <w:rFonts w:ascii="Calibri" w:cs="Calibri" w:eastAsia="Calibri" w:hAnsi="Calibri"/>
                <w:b/>
                <w:bCs/>
                <w:sz w:val="20"/>
                <w:szCs w:val="20"/>
              </w:rPr>
              <w:t xml:space="preserve">When.</w:t>
            </w:r>
            <w:r>
              <w:rPr>
                <w:rFonts w:ascii="Calibri" w:cs="Calibri" w:eastAsia="Calibri" w:hAnsi="Calibri"/>
                <w:sz w:val="20"/>
                <w:szCs w:val="20"/>
              </w:rPr>
              <w:t xml:space="preserve">  Step 1 (frame), updated after discovery.</w:t>
            </w:r>
          </w:p>
          <w:p>
            <w:pPr>
              <w:spacing w:after="80"/>
            </w:pPr>
            <w:r>
              <w:rPr>
                <w:rFonts w:ascii="Calibri" w:cs="Calibri" w:eastAsia="Calibri" w:hAnsi="Calibri"/>
                <w:b/>
                <w:bCs/>
                <w:sz w:val="20"/>
                <w:szCs w:val="20"/>
              </w:rPr>
              <w:t xml:space="preserve">Who.</w:t>
            </w:r>
            <w:r>
              <w:rPr>
                <w:rFonts w:ascii="Calibri" w:cs="Calibri" w:eastAsia="Calibri" w:hAnsi="Calibri"/>
                <w:sz w:val="20"/>
                <w:szCs w:val="20"/>
              </w:rPr>
              <w:t xml:space="preserve">  The engagement lead drafts it with the business owner, and the lead architect adds the stages and systems.</w:t>
            </w:r>
          </w:p>
          <w:p>
            <w:pPr>
              <w:spacing w:after="60" w:before="120"/>
            </w:pPr>
            <w:r>
              <w:rPr>
                <w:rFonts w:ascii="Calibri" w:cs="Calibri" w:eastAsia="Calibri" w:hAnsi="Calibri"/>
                <w:b/>
                <w:bCs/>
                <w:color w:val="1E293B"/>
                <w:sz w:val="20"/>
                <w:szCs w:val="20"/>
              </w:rPr>
              <w:t xml:space="preserve">How to fill it</w:t>
            </w:r>
          </w:p>
          <w:p>
            <w:pPr>
              <w:pStyle w:val="ListParagraph"/>
              <w:numPr>
                <w:ilvl w:val="0"/>
                <w:numId w:val="2"/>
              </w:numPr>
              <w:spacing w:after="60"/>
            </w:pPr>
            <w:r>
              <w:rPr>
                <w:rFonts w:ascii="Calibri" w:cs="Calibri" w:eastAsia="Calibri" w:hAnsi="Calibri"/>
                <w:sz w:val="20"/>
                <w:szCs w:val="20"/>
              </w:rPr>
              <w:t xml:space="preserve">Name the use case after its business outcome, for example “Engagement launch: from verbal win to ready-to-charge.”</w:t>
            </w:r>
          </w:p>
          <w:p>
            <w:pPr>
              <w:pStyle w:val="ListParagraph"/>
              <w:numPr>
                <w:ilvl w:val="0"/>
                <w:numId w:val="2"/>
              </w:numPr>
              <w:spacing w:after="60"/>
            </w:pPr>
            <w:r>
              <w:rPr>
                <w:rFonts w:ascii="Calibri" w:cs="Calibri" w:eastAsia="Calibri" w:hAnsi="Calibri"/>
                <w:sz w:val="20"/>
                <w:szCs w:val="20"/>
              </w:rPr>
              <w:t xml:space="preserve">Write the problem today and the target state in two or three sentences each.</w:t>
            </w:r>
          </w:p>
          <w:p>
            <w:pPr>
              <w:pStyle w:val="ListParagraph"/>
              <w:numPr>
                <w:ilvl w:val="0"/>
                <w:numId w:val="2"/>
              </w:numPr>
              <w:spacing w:after="60"/>
            </w:pPr>
            <w:r>
              <w:rPr>
                <w:rFonts w:ascii="Calibri" w:cs="Calibri" w:eastAsia="Calibri" w:hAnsi="Calibri"/>
                <w:sz w:val="20"/>
                <w:szCs w:val="20"/>
              </w:rPr>
              <w:t xml:space="preserve">Fill the trigger, end state, users, systems of record and out-of-scope rows.</w:t>
            </w:r>
          </w:p>
          <w:p>
            <w:pPr>
              <w:pStyle w:val="ListParagraph"/>
              <w:numPr>
                <w:ilvl w:val="0"/>
                <w:numId w:val="2"/>
              </w:numPr>
              <w:spacing w:after="60"/>
            </w:pPr>
            <w:r>
              <w:rPr>
                <w:rFonts w:ascii="Calibri" w:cs="Calibri" w:eastAsia="Calibri" w:hAnsi="Calibri"/>
                <w:sz w:val="20"/>
                <w:szCs w:val="20"/>
              </w:rPr>
              <w:t xml:space="preserve">List five to seven stages. For each, record the human step, the work mode (human-led, AI-assisted or AI-led) and why, the agent and its tier, and the system of record.</w:t>
            </w:r>
          </w:p>
          <w:p>
            <w:pPr>
              <w:pStyle w:val="ListParagraph"/>
              <w:numPr>
                <w:ilvl w:val="0"/>
                <w:numId w:val="2"/>
              </w:numPr>
              <w:spacing w:after="60"/>
            </w:pPr>
            <w:r>
              <w:rPr>
                <w:rFonts w:ascii="Calibri" w:cs="Calibri" w:eastAsia="Calibri" w:hAnsi="Calibri"/>
                <w:sz w:val="20"/>
                <w:szCs w:val="20"/>
              </w:rPr>
              <w:t xml:space="preserve">Write three to five business goals and the control-plane goals, each with the KPI that measures it.</w:t>
            </w:r>
          </w:p>
          <w:p>
            <w:pPr>
              <w:pStyle w:val="ListParagraph"/>
              <w:numPr>
                <w:ilvl w:val="0"/>
                <w:numId w:val="2"/>
              </w:numPr>
              <w:spacing w:after="60"/>
            </w:pPr>
            <w:r>
              <w:rPr>
                <w:rFonts w:ascii="Calibri" w:cs="Calibri" w:eastAsia="Calibri" w:hAnsi="Calibri"/>
                <w:sz w:val="20"/>
                <w:szCs w:val="20"/>
              </w:rPr>
              <w:t xml:space="preserve">Score the use case against the seven selection criteria, with evidence.</w:t>
            </w:r>
          </w:p>
          <w:p>
            <w:pPr>
              <w:spacing w:after="60" w:before="120"/>
            </w:pPr>
            <w:r>
              <w:rPr>
                <w:rFonts w:ascii="Calibri" w:cs="Calibri" w:eastAsia="Calibri" w:hAnsi="Calibri"/>
                <w:b/>
                <w:bCs/>
                <w:color w:val="1E293B"/>
                <w:sz w:val="20"/>
                <w:szCs w:val="20"/>
              </w:rPr>
              <w:t xml:space="preserve">Tips</w:t>
            </w:r>
          </w:p>
          <w:p>
            <w:pPr>
              <w:pStyle w:val="ListParagraph"/>
              <w:numPr>
                <w:ilvl w:val="0"/>
                <w:numId w:val="3"/>
              </w:numPr>
              <w:spacing w:after="60"/>
            </w:pPr>
            <w:r>
              <w:rPr>
                <w:rFonts w:ascii="Calibri" w:cs="Calibri" w:eastAsia="Calibri" w:hAnsi="Calibri"/>
                <w:sz w:val="20"/>
                <w:szCs w:val="20"/>
              </w:rPr>
              <w:t xml:space="preserve">Keep it to one page and leave the detail to the other templates.</w:t>
            </w:r>
          </w:p>
          <w:p>
            <w:pPr>
              <w:pStyle w:val="ListParagraph"/>
              <w:numPr>
                <w:ilvl w:val="0"/>
                <w:numId w:val="3"/>
              </w:numPr>
              <w:spacing w:after="60"/>
            </w:pPr>
            <w:r>
              <w:rPr>
                <w:rFonts w:ascii="Calibri" w:cs="Calibri" w:eastAsia="Calibri" w:hAnsi="Calibri"/>
                <w:sz w:val="20"/>
                <w:szCs w:val="20"/>
              </w:rPr>
              <w:t xml:space="preserve">If you cannot name the end state, the scope is not ready.</w:t>
            </w:r>
          </w:p>
          <w:p>
            <w:pPr>
              <w:pStyle w:val="ListParagraph"/>
              <w:numPr>
                <w:ilvl w:val="0"/>
                <w:numId w:val="3"/>
              </w:numPr>
              <w:spacing w:after="60"/>
            </w:pPr>
            <w:r>
              <w:rPr>
                <w:rFonts w:ascii="Calibri" w:cs="Calibri" w:eastAsia="Calibri" w:hAnsi="Calibri"/>
                <w:sz w:val="20"/>
                <w:szCs w:val="20"/>
              </w:rPr>
              <w:t xml:space="preserve">Ask could AI and should AI of every stage (</w:t>
            </w:r>
            <w:hyperlink w:history="1" r:id="rIdfgjwxtre4dwozdnqztylv">
              <w:r>
                <w:rPr>
                  <w:rFonts w:ascii="Calibri" w:cs="Calibri" w:eastAsia="Calibri" w:hAnsi="Calibri"/>
                  <w:color w:val="0369A1"/>
                  <w:sz w:val="20"/>
                  <w:szCs w:val="20"/>
                  <w:u w:val="single"/>
                </w:rPr>
                <w:t xml:space="preserve">Section 2</w:t>
              </w:r>
            </w:hyperlink>
            <w:r>
              <w:rPr>
                <w:rFonts w:ascii="Calibri" w:cs="Calibri" w:eastAsia="Calibri" w:hAnsi="Calibri"/>
                <w:sz w:val="20"/>
                <w:szCs w:val="20"/>
              </w:rPr>
              <w:t xml:space="preserve">). A human-led step needs a reason the risk team would accept.</w:t>
            </w:r>
          </w:p>
          <w:p>
            <w:pPr>
              <w:spacing w:after="80"/>
            </w:pPr>
            <w:r>
              <w:rPr>
                <w:rFonts w:ascii="Calibri" w:cs="Calibri" w:eastAsia="Calibri" w:hAnsi="Calibri"/>
                <w:b/>
                <w:bCs/>
                <w:sz w:val="20"/>
                <w:szCs w:val="20"/>
              </w:rPr>
              <w:t xml:space="preserve">Feeds.</w:t>
            </w:r>
            <w:r>
              <w:rPr>
                <w:rFonts w:ascii="Calibri" w:cs="Calibri" w:eastAsia="Calibri" w:hAnsi="Calibri"/>
                <w:sz w:val="20"/>
                <w:szCs w:val="20"/>
              </w:rPr>
              <w:t xml:space="preserve">  Client deck: The use case; At a glance. Client report: sections 1 and 2.</w:t>
            </w:r>
          </w:p>
        </w:tc>
      </w:tr>
    </w:tbl>
    <w:p>
      <w:pPr>
        <w:spacing w:after="120"/>
      </w:pPr>
    </w:p>
    <w:tbl>
      <w:tblPr>
        <w:tblW w:type="dxa" w:w="9360"/>
        <w:tblBorders>
          <w:top w:val="single" w:color="CBD5E1" w:sz="4"/>
          <w:left w:val="single" w:color="CBD5E1" w:sz="4"/>
          <w:bottom w:val="single" w:color="CBD5E1" w:sz="4"/>
          <w:right w:val="single" w:color="CBD5E1" w:sz="4"/>
          <w:insideH w:val="single" w:color="CBD5E1" w:sz="4"/>
          <w:insideV w:val="single" w:color="CBD5E1" w:sz="4"/>
        </w:tblBorders>
        <w:tblLayout w:type="fixed"/>
      </w:tblPr>
      <w:tblGrid>
        <w:gridCol w:w="3248"/>
        <w:gridCol w:w="6112"/>
      </w:tblGrid>
      <w:tr>
        <w:trPr>
          <w:cantSplit/>
          <w:tblHeader w:val="false"/>
        </w:trPr>
        <w:tc>
          <w:tcPr>
            <w:tcW w:type="dxa" w:w="3248"/>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Use case</w:t>
            </w:r>
          </w:p>
        </w:tc>
        <w:tc>
          <w:tcPr>
            <w:tcW w:type="dxa" w:w="6112"/>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[Name, after its business outcome]</w:t>
            </w:r>
          </w:p>
        </w:tc>
      </w:tr>
      <w:tr>
        <w:trPr>
          <w:cantSplit/>
          <w:tblHeader w:val="false"/>
        </w:trPr>
        <w:tc>
          <w:tcPr>
            <w:tcW w:type="dxa" w:w="3248"/>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Client and business unit</w:t>
            </w:r>
          </w:p>
        </w:tc>
        <w:tc>
          <w:tcPr>
            <w:tcW w:type="dxa" w:w="6112"/>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[Client, business unit]</w:t>
            </w:r>
          </w:p>
        </w:tc>
      </w:tr>
      <w:tr>
        <w:trPr>
          <w:cantSplit/>
          <w:tblHeader w:val="false"/>
        </w:trPr>
        <w:tc>
          <w:tcPr>
            <w:tcW w:type="dxa" w:w="3248"/>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Executive sponsor</w:t>
            </w:r>
          </w:p>
        </w:tc>
        <w:tc>
          <w:tcPr>
            <w:tcW w:type="dxa" w:w="6112"/>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[Name, title]</w:t>
            </w:r>
          </w:p>
        </w:tc>
      </w:tr>
      <w:tr>
        <w:trPr>
          <w:cantSplit/>
          <w:tblHeader w:val="false"/>
        </w:trPr>
        <w:tc>
          <w:tcPr>
            <w:tcW w:type="dxa" w:w="3248"/>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Business owner</w:t>
            </w:r>
          </w:p>
        </w:tc>
        <w:tc>
          <w:tcPr>
            <w:tcW w:type="dxa" w:w="6112"/>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[Name, title]</w:t>
            </w:r>
          </w:p>
        </w:tc>
      </w:tr>
      <w:tr>
        <w:trPr>
          <w:cantSplit/>
          <w:tblHeader w:val="false"/>
        </w:trPr>
        <w:tc>
          <w:tcPr>
            <w:tcW w:type="dxa" w:w="3248"/>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Problem today</w:t>
            </w:r>
          </w:p>
        </w:tc>
        <w:tc>
          <w:tcPr>
            <w:tcW w:type="dxa" w:w="6112"/>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[The chain of manual, risk-sensitive steps and what the delays and errors cost]</w:t>
            </w:r>
          </w:p>
        </w:tc>
      </w:tr>
      <w:tr>
        <w:trPr>
          <w:cantSplit/>
          <w:tblHeader w:val="false"/>
        </w:trPr>
        <w:tc>
          <w:tcPr>
            <w:tcW w:type="dxa" w:w="3248"/>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Target state</w:t>
            </w:r>
          </w:p>
        </w:tc>
        <w:tc>
          <w:tcPr>
            <w:tcW w:type="dxa" w:w="6112"/>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[What agents do, what people keep, which systems are involved]</w:t>
            </w:r>
          </w:p>
        </w:tc>
      </w:tr>
      <w:tr>
        <w:trPr>
          <w:cantSplit/>
          <w:tblHeader w:val="false"/>
        </w:trPr>
        <w:tc>
          <w:tcPr>
            <w:tcW w:type="dxa" w:w="3248"/>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Trigger</w:t>
            </w:r>
          </w:p>
        </w:tc>
        <w:tc>
          <w:tcPr>
            <w:tcW w:type="dxa" w:w="6112"/>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[Event that starts the process]</w:t>
            </w:r>
          </w:p>
        </w:tc>
      </w:tr>
      <w:tr>
        <w:trPr>
          <w:cantSplit/>
          <w:tblHeader w:val="false"/>
        </w:trPr>
        <w:tc>
          <w:tcPr>
            <w:tcW w:type="dxa" w:w="3248"/>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End state</w:t>
            </w:r>
          </w:p>
        </w:tc>
        <w:tc>
          <w:tcPr>
            <w:tcW w:type="dxa" w:w="6112"/>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[What is true when it is done]</w:t>
            </w:r>
          </w:p>
        </w:tc>
      </w:tr>
      <w:tr>
        <w:trPr>
          <w:cantSplit/>
          <w:tblHeader w:val="false"/>
        </w:trPr>
        <w:tc>
          <w:tcPr>
            <w:tcW w:type="dxa" w:w="3248"/>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Users</w:t>
            </w:r>
          </w:p>
        </w:tc>
        <w:tc>
          <w:tcPr>
            <w:tcW w:type="dxa" w:w="6112"/>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[User groups]</w:t>
            </w:r>
          </w:p>
        </w:tc>
      </w:tr>
      <w:tr>
        <w:trPr>
          <w:cantSplit/>
          <w:tblHeader w:val="false"/>
        </w:trPr>
        <w:tc>
          <w:tcPr>
            <w:tcW w:type="dxa" w:w="3248"/>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Systems of record</w:t>
            </w:r>
          </w:p>
        </w:tc>
        <w:tc>
          <w:tcPr>
            <w:tcW w:type="dxa" w:w="6112"/>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[Systems the process runs on]</w:t>
            </w:r>
          </w:p>
        </w:tc>
      </w:tr>
      <w:tr>
        <w:trPr>
          <w:cantSplit/>
          <w:tblHeader w:val="false"/>
        </w:trPr>
        <w:tc>
          <w:tcPr>
            <w:tcW w:type="dxa" w:w="3248"/>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Out of scope</w:t>
            </w:r>
          </w:p>
        </w:tc>
        <w:tc>
          <w:tcPr>
            <w:tcW w:type="dxa" w:w="6112"/>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[What the first phase excludes]</w:t>
            </w:r>
          </w:p>
        </w:tc>
      </w:tr>
    </w:tbl>
    <w:p>
      <w:pPr>
        <w:spacing w:after="120"/>
      </w:pPr>
    </w:p>
    <w:p>
      <w:pPr>
        <w:pStyle w:val="Heading3"/>
        <w:keepNext/>
      </w:pPr>
      <w:r>
        <w:rPr>
          <w:rFonts w:ascii="Calibri" w:cs="Calibri" w:eastAsia="Calibri" w:hAnsi="Calibri"/>
        </w:rPr>
        <w:t xml:space="preserve">Stages</w:t>
      </w:r>
    </w:p>
    <w:tbl>
      <w:tblPr>
        <w:tblW w:type="dxa" w:w="9360"/>
        <w:tblBorders>
          <w:top w:val="single" w:color="CBD5E1" w:sz="4"/>
          <w:left w:val="single" w:color="CBD5E1" w:sz="4"/>
          <w:bottom w:val="single" w:color="CBD5E1" w:sz="4"/>
          <w:right w:val="single" w:color="CBD5E1" w:sz="4"/>
          <w:insideH w:val="single" w:color="CBD5E1" w:sz="4"/>
          <w:insideV w:val="single" w:color="CBD5E1" w:sz="4"/>
        </w:tblBorders>
        <w:tblLayout w:type="fixed"/>
      </w:tblPr>
      <w:tblGrid>
        <w:gridCol w:w="1761"/>
        <w:gridCol w:w="1851"/>
        <w:gridCol w:w="2010"/>
        <w:gridCol w:w="1916"/>
        <w:gridCol w:w="1822"/>
      </w:tblGrid>
      <w:tr>
        <w:trPr>
          <w:cantSplit/>
          <w:tblHeader/>
        </w:trPr>
        <w:tc>
          <w:tcPr>
            <w:tcW w:type="dxa" w:w="1761"/>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Stage</w:t>
            </w:r>
          </w:p>
        </w:tc>
        <w:tc>
          <w:tcPr>
            <w:tcW w:type="dxa" w:w="1851"/>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Human step</w:t>
            </w:r>
          </w:p>
        </w:tc>
        <w:tc>
          <w:tcPr>
            <w:tcW w:type="dxa" w:w="2010"/>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Work mode</w:t>
            </w:r>
          </w:p>
        </w:tc>
        <w:tc>
          <w:tcPr>
            <w:tcW w:type="dxa" w:w="1916"/>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Agent and tier</w:t>
            </w:r>
          </w:p>
        </w:tc>
        <w:tc>
          <w:tcPr>
            <w:tcW w:type="dxa" w:w="1822"/>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System of record</w:t>
            </w:r>
          </w:p>
        </w:tc>
      </w:tr>
      <w:tr>
        <w:trPr>
          <w:cantSplit/>
          <w:tblHeader w:val="false"/>
        </w:trPr>
        <w:tc>
          <w:tcPr>
            <w:tcW w:type="dxa" w:w="1761"/>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[Stage name]</w:t>
            </w:r>
          </w:p>
        </w:tc>
        <w:tc>
          <w:tcPr>
            <w:tcW w:type="dxa" w:w="1851"/>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[Decision or none]</w:t>
            </w:r>
          </w:p>
        </w:tc>
        <w:tc>
          <w:tcPr>
            <w:tcW w:type="dxa" w:w="2010"/>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[Human-led, AI-assisted or AI-led; why]</w:t>
            </w:r>
          </w:p>
        </w:tc>
        <w:tc>
          <w:tcPr>
            <w:tcW w:type="dxa" w:w="1916"/>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[Agent (Tier n, mode)]</w:t>
            </w:r>
          </w:p>
        </w:tc>
        <w:tc>
          <w:tcPr>
            <w:tcW w:type="dxa" w:w="1822"/>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[System]</w:t>
            </w:r>
          </w:p>
        </w:tc>
      </w:tr>
      <w:tr>
        <w:trPr>
          <w:cantSplit/>
          <w:tblHeader w:val="false"/>
          <w:trHeight w:val="400" w:hRule="atLeast"/>
        </w:trPr>
        <w:tc>
          <w:tcPr>
            <w:tcW w:type="dxa" w:w="1761"/>
            <w:tcMar>
              <w:top w:type="dxa" w:w="60"/>
              <w:left w:type="dxa" w:w="100"/>
              <w:bottom w:type="dxa" w:w="60"/>
              <w:right w:type="dxa" w:w="100"/>
            </w:tcMar>
            <w:vAlign w:val="top"/>
          </w:tcPr>
          <w:p>
            <w:pPr>
              <w:spacing w:after="0" w:before="0" w:line="252"/>
            </w:pPr>
          </w:p>
        </w:tc>
        <w:tc>
          <w:tcPr>
            <w:tcW w:type="dxa" w:w="1851"/>
            <w:tcMar>
              <w:top w:type="dxa" w:w="60"/>
              <w:left w:type="dxa" w:w="100"/>
              <w:bottom w:type="dxa" w:w="60"/>
              <w:right w:type="dxa" w:w="100"/>
            </w:tcMar>
            <w:vAlign w:val="top"/>
          </w:tcPr>
          <w:p>
            <w:pPr>
              <w:spacing w:after="0" w:before="0" w:line="252"/>
            </w:pPr>
          </w:p>
        </w:tc>
        <w:tc>
          <w:tcPr>
            <w:tcW w:type="dxa" w:w="2010"/>
            <w:tcMar>
              <w:top w:type="dxa" w:w="60"/>
              <w:left w:type="dxa" w:w="100"/>
              <w:bottom w:type="dxa" w:w="60"/>
              <w:right w:type="dxa" w:w="100"/>
            </w:tcMar>
            <w:vAlign w:val="top"/>
          </w:tcPr>
          <w:p>
            <w:pPr>
              <w:spacing w:after="0" w:before="0" w:line="252"/>
            </w:pPr>
          </w:p>
        </w:tc>
        <w:tc>
          <w:tcPr>
            <w:tcW w:type="dxa" w:w="1916"/>
            <w:tcMar>
              <w:top w:type="dxa" w:w="60"/>
              <w:left w:type="dxa" w:w="100"/>
              <w:bottom w:type="dxa" w:w="60"/>
              <w:right w:type="dxa" w:w="100"/>
            </w:tcMar>
            <w:vAlign w:val="top"/>
          </w:tcPr>
          <w:p>
            <w:pPr>
              <w:spacing w:after="0" w:before="0" w:line="252"/>
            </w:pPr>
          </w:p>
        </w:tc>
        <w:tc>
          <w:tcPr>
            <w:tcW w:type="dxa" w:w="1822"/>
            <w:tcMar>
              <w:top w:type="dxa" w:w="60"/>
              <w:left w:type="dxa" w:w="100"/>
              <w:bottom w:type="dxa" w:w="60"/>
              <w:right w:type="dxa" w:w="100"/>
            </w:tcMar>
            <w:vAlign w:val="top"/>
          </w:tcPr>
          <w:p>
            <w:pPr>
              <w:spacing w:after="0" w:before="0" w:line="252"/>
            </w:pPr>
          </w:p>
        </w:tc>
      </w:tr>
      <w:tr>
        <w:trPr>
          <w:cantSplit/>
          <w:tblHeader w:val="false"/>
          <w:trHeight w:val="400" w:hRule="atLeast"/>
        </w:trPr>
        <w:tc>
          <w:tcPr>
            <w:tcW w:type="dxa" w:w="1761"/>
            <w:tcMar>
              <w:top w:type="dxa" w:w="60"/>
              <w:left w:type="dxa" w:w="100"/>
              <w:bottom w:type="dxa" w:w="60"/>
              <w:right w:type="dxa" w:w="100"/>
            </w:tcMar>
            <w:vAlign w:val="top"/>
          </w:tcPr>
          <w:p>
            <w:pPr>
              <w:spacing w:after="0" w:before="0" w:line="252"/>
            </w:pPr>
          </w:p>
        </w:tc>
        <w:tc>
          <w:tcPr>
            <w:tcW w:type="dxa" w:w="1851"/>
            <w:tcMar>
              <w:top w:type="dxa" w:w="60"/>
              <w:left w:type="dxa" w:w="100"/>
              <w:bottom w:type="dxa" w:w="60"/>
              <w:right w:type="dxa" w:w="100"/>
            </w:tcMar>
            <w:vAlign w:val="top"/>
          </w:tcPr>
          <w:p>
            <w:pPr>
              <w:spacing w:after="0" w:before="0" w:line="252"/>
            </w:pPr>
          </w:p>
        </w:tc>
        <w:tc>
          <w:tcPr>
            <w:tcW w:type="dxa" w:w="2010"/>
            <w:tcMar>
              <w:top w:type="dxa" w:w="60"/>
              <w:left w:type="dxa" w:w="100"/>
              <w:bottom w:type="dxa" w:w="60"/>
              <w:right w:type="dxa" w:w="100"/>
            </w:tcMar>
            <w:vAlign w:val="top"/>
          </w:tcPr>
          <w:p>
            <w:pPr>
              <w:spacing w:after="0" w:before="0" w:line="252"/>
            </w:pPr>
          </w:p>
        </w:tc>
        <w:tc>
          <w:tcPr>
            <w:tcW w:type="dxa" w:w="1916"/>
            <w:tcMar>
              <w:top w:type="dxa" w:w="60"/>
              <w:left w:type="dxa" w:w="100"/>
              <w:bottom w:type="dxa" w:w="60"/>
              <w:right w:type="dxa" w:w="100"/>
            </w:tcMar>
            <w:vAlign w:val="top"/>
          </w:tcPr>
          <w:p>
            <w:pPr>
              <w:spacing w:after="0" w:before="0" w:line="252"/>
            </w:pPr>
          </w:p>
        </w:tc>
        <w:tc>
          <w:tcPr>
            <w:tcW w:type="dxa" w:w="1822"/>
            <w:tcMar>
              <w:top w:type="dxa" w:w="60"/>
              <w:left w:type="dxa" w:w="100"/>
              <w:bottom w:type="dxa" w:w="60"/>
              <w:right w:type="dxa" w:w="100"/>
            </w:tcMar>
            <w:vAlign w:val="top"/>
          </w:tcPr>
          <w:p>
            <w:pPr>
              <w:spacing w:after="0" w:before="0" w:line="252"/>
            </w:pPr>
          </w:p>
        </w:tc>
      </w:tr>
      <w:tr>
        <w:trPr>
          <w:cantSplit/>
          <w:tblHeader w:val="false"/>
          <w:trHeight w:val="400" w:hRule="atLeast"/>
        </w:trPr>
        <w:tc>
          <w:tcPr>
            <w:tcW w:type="dxa" w:w="1761"/>
            <w:tcMar>
              <w:top w:type="dxa" w:w="60"/>
              <w:left w:type="dxa" w:w="100"/>
              <w:bottom w:type="dxa" w:w="60"/>
              <w:right w:type="dxa" w:w="100"/>
            </w:tcMar>
            <w:vAlign w:val="top"/>
          </w:tcPr>
          <w:p>
            <w:pPr>
              <w:spacing w:after="0" w:before="0" w:line="252"/>
            </w:pPr>
          </w:p>
        </w:tc>
        <w:tc>
          <w:tcPr>
            <w:tcW w:type="dxa" w:w="1851"/>
            <w:tcMar>
              <w:top w:type="dxa" w:w="60"/>
              <w:left w:type="dxa" w:w="100"/>
              <w:bottom w:type="dxa" w:w="60"/>
              <w:right w:type="dxa" w:w="100"/>
            </w:tcMar>
            <w:vAlign w:val="top"/>
          </w:tcPr>
          <w:p>
            <w:pPr>
              <w:spacing w:after="0" w:before="0" w:line="252"/>
            </w:pPr>
          </w:p>
        </w:tc>
        <w:tc>
          <w:tcPr>
            <w:tcW w:type="dxa" w:w="2010"/>
            <w:tcMar>
              <w:top w:type="dxa" w:w="60"/>
              <w:left w:type="dxa" w:w="100"/>
              <w:bottom w:type="dxa" w:w="60"/>
              <w:right w:type="dxa" w:w="100"/>
            </w:tcMar>
            <w:vAlign w:val="top"/>
          </w:tcPr>
          <w:p>
            <w:pPr>
              <w:spacing w:after="0" w:before="0" w:line="252"/>
            </w:pPr>
          </w:p>
        </w:tc>
        <w:tc>
          <w:tcPr>
            <w:tcW w:type="dxa" w:w="1916"/>
            <w:tcMar>
              <w:top w:type="dxa" w:w="60"/>
              <w:left w:type="dxa" w:w="100"/>
              <w:bottom w:type="dxa" w:w="60"/>
              <w:right w:type="dxa" w:w="100"/>
            </w:tcMar>
            <w:vAlign w:val="top"/>
          </w:tcPr>
          <w:p>
            <w:pPr>
              <w:spacing w:after="0" w:before="0" w:line="252"/>
            </w:pPr>
          </w:p>
        </w:tc>
        <w:tc>
          <w:tcPr>
            <w:tcW w:type="dxa" w:w="1822"/>
            <w:tcMar>
              <w:top w:type="dxa" w:w="60"/>
              <w:left w:type="dxa" w:w="100"/>
              <w:bottom w:type="dxa" w:w="60"/>
              <w:right w:type="dxa" w:w="100"/>
            </w:tcMar>
            <w:vAlign w:val="top"/>
          </w:tcPr>
          <w:p>
            <w:pPr>
              <w:spacing w:after="0" w:before="0" w:line="252"/>
            </w:pPr>
          </w:p>
        </w:tc>
      </w:tr>
      <w:tr>
        <w:trPr>
          <w:cantSplit/>
          <w:tblHeader w:val="false"/>
          <w:trHeight w:val="400" w:hRule="atLeast"/>
        </w:trPr>
        <w:tc>
          <w:tcPr>
            <w:tcW w:type="dxa" w:w="1761"/>
            <w:tcMar>
              <w:top w:type="dxa" w:w="60"/>
              <w:left w:type="dxa" w:w="100"/>
              <w:bottom w:type="dxa" w:w="60"/>
              <w:right w:type="dxa" w:w="100"/>
            </w:tcMar>
            <w:vAlign w:val="top"/>
          </w:tcPr>
          <w:p>
            <w:pPr>
              <w:spacing w:after="0" w:before="0" w:line="252"/>
            </w:pPr>
          </w:p>
        </w:tc>
        <w:tc>
          <w:tcPr>
            <w:tcW w:type="dxa" w:w="1851"/>
            <w:tcMar>
              <w:top w:type="dxa" w:w="60"/>
              <w:left w:type="dxa" w:w="100"/>
              <w:bottom w:type="dxa" w:w="60"/>
              <w:right w:type="dxa" w:w="100"/>
            </w:tcMar>
            <w:vAlign w:val="top"/>
          </w:tcPr>
          <w:p>
            <w:pPr>
              <w:spacing w:after="0" w:before="0" w:line="252"/>
            </w:pPr>
          </w:p>
        </w:tc>
        <w:tc>
          <w:tcPr>
            <w:tcW w:type="dxa" w:w="2010"/>
            <w:tcMar>
              <w:top w:type="dxa" w:w="60"/>
              <w:left w:type="dxa" w:w="100"/>
              <w:bottom w:type="dxa" w:w="60"/>
              <w:right w:type="dxa" w:w="100"/>
            </w:tcMar>
            <w:vAlign w:val="top"/>
          </w:tcPr>
          <w:p>
            <w:pPr>
              <w:spacing w:after="0" w:before="0" w:line="252"/>
            </w:pPr>
          </w:p>
        </w:tc>
        <w:tc>
          <w:tcPr>
            <w:tcW w:type="dxa" w:w="1916"/>
            <w:tcMar>
              <w:top w:type="dxa" w:w="60"/>
              <w:left w:type="dxa" w:w="100"/>
              <w:bottom w:type="dxa" w:w="60"/>
              <w:right w:type="dxa" w:w="100"/>
            </w:tcMar>
            <w:vAlign w:val="top"/>
          </w:tcPr>
          <w:p>
            <w:pPr>
              <w:spacing w:after="0" w:before="0" w:line="252"/>
            </w:pPr>
          </w:p>
        </w:tc>
        <w:tc>
          <w:tcPr>
            <w:tcW w:type="dxa" w:w="1822"/>
            <w:tcMar>
              <w:top w:type="dxa" w:w="60"/>
              <w:left w:type="dxa" w:w="100"/>
              <w:bottom w:type="dxa" w:w="60"/>
              <w:right w:type="dxa" w:w="100"/>
            </w:tcMar>
            <w:vAlign w:val="top"/>
          </w:tcPr>
          <w:p>
            <w:pPr>
              <w:spacing w:after="0" w:before="0" w:line="252"/>
            </w:pPr>
          </w:p>
        </w:tc>
      </w:tr>
      <w:tr>
        <w:trPr>
          <w:cantSplit/>
          <w:tblHeader w:val="false"/>
          <w:trHeight w:val="400" w:hRule="atLeast"/>
        </w:trPr>
        <w:tc>
          <w:tcPr>
            <w:tcW w:type="dxa" w:w="1761"/>
            <w:tcMar>
              <w:top w:type="dxa" w:w="60"/>
              <w:left w:type="dxa" w:w="100"/>
              <w:bottom w:type="dxa" w:w="60"/>
              <w:right w:type="dxa" w:w="100"/>
            </w:tcMar>
            <w:vAlign w:val="top"/>
          </w:tcPr>
          <w:p>
            <w:pPr>
              <w:spacing w:after="0" w:before="0" w:line="252"/>
            </w:pPr>
          </w:p>
        </w:tc>
        <w:tc>
          <w:tcPr>
            <w:tcW w:type="dxa" w:w="1851"/>
            <w:tcMar>
              <w:top w:type="dxa" w:w="60"/>
              <w:left w:type="dxa" w:w="100"/>
              <w:bottom w:type="dxa" w:w="60"/>
              <w:right w:type="dxa" w:w="100"/>
            </w:tcMar>
            <w:vAlign w:val="top"/>
          </w:tcPr>
          <w:p>
            <w:pPr>
              <w:spacing w:after="0" w:before="0" w:line="252"/>
            </w:pPr>
          </w:p>
        </w:tc>
        <w:tc>
          <w:tcPr>
            <w:tcW w:type="dxa" w:w="2010"/>
            <w:tcMar>
              <w:top w:type="dxa" w:w="60"/>
              <w:left w:type="dxa" w:w="100"/>
              <w:bottom w:type="dxa" w:w="60"/>
              <w:right w:type="dxa" w:w="100"/>
            </w:tcMar>
            <w:vAlign w:val="top"/>
          </w:tcPr>
          <w:p>
            <w:pPr>
              <w:spacing w:after="0" w:before="0" w:line="252"/>
            </w:pPr>
          </w:p>
        </w:tc>
        <w:tc>
          <w:tcPr>
            <w:tcW w:type="dxa" w:w="1916"/>
            <w:tcMar>
              <w:top w:type="dxa" w:w="60"/>
              <w:left w:type="dxa" w:w="100"/>
              <w:bottom w:type="dxa" w:w="60"/>
              <w:right w:type="dxa" w:w="100"/>
            </w:tcMar>
            <w:vAlign w:val="top"/>
          </w:tcPr>
          <w:p>
            <w:pPr>
              <w:spacing w:after="0" w:before="0" w:line="252"/>
            </w:pPr>
          </w:p>
        </w:tc>
        <w:tc>
          <w:tcPr>
            <w:tcW w:type="dxa" w:w="1822"/>
            <w:tcMar>
              <w:top w:type="dxa" w:w="60"/>
              <w:left w:type="dxa" w:w="100"/>
              <w:bottom w:type="dxa" w:w="60"/>
              <w:right w:type="dxa" w:w="100"/>
            </w:tcMar>
            <w:vAlign w:val="top"/>
          </w:tcPr>
          <w:p>
            <w:pPr>
              <w:spacing w:after="0" w:before="0" w:line="252"/>
            </w:pPr>
          </w:p>
        </w:tc>
      </w:tr>
    </w:tbl>
    <w:p>
      <w:pPr>
        <w:spacing w:after="120"/>
      </w:pPr>
    </w:p>
    <w:p>
      <w:pPr>
        <w:pStyle w:val="Heading3"/>
        <w:keepNext/>
      </w:pPr>
      <w:r>
        <w:rPr>
          <w:rFonts w:ascii="Calibri" w:cs="Calibri" w:eastAsia="Calibri" w:hAnsi="Calibri"/>
        </w:rPr>
        <w:t xml:space="preserve">Goals</w:t>
      </w:r>
    </w:p>
    <w:tbl>
      <w:tblPr>
        <w:tblW w:type="dxa" w:w="9360"/>
        <w:tblBorders>
          <w:top w:val="single" w:color="CBD5E1" w:sz="4"/>
          <w:left w:val="single" w:color="CBD5E1" w:sz="4"/>
          <w:bottom w:val="single" w:color="CBD5E1" w:sz="4"/>
          <w:right w:val="single" w:color="CBD5E1" w:sz="4"/>
          <w:insideH w:val="single" w:color="CBD5E1" w:sz="4"/>
          <w:insideV w:val="single" w:color="CBD5E1" w:sz="4"/>
        </w:tblBorders>
        <w:tblLayout w:type="fixed"/>
      </w:tblPr>
      <w:tblGrid>
        <w:gridCol w:w="2965"/>
        <w:gridCol w:w="3325"/>
        <w:gridCol w:w="3070"/>
      </w:tblGrid>
      <w:tr>
        <w:trPr>
          <w:cantSplit/>
          <w:tblHeader/>
        </w:trPr>
        <w:tc>
          <w:tcPr>
            <w:tcW w:type="dxa" w:w="2965"/>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Goal</w:t>
            </w:r>
          </w:p>
        </w:tc>
        <w:tc>
          <w:tcPr>
            <w:tcW w:type="dxa" w:w="3325"/>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Type</w:t>
            </w:r>
          </w:p>
        </w:tc>
        <w:tc>
          <w:tcPr>
            <w:tcW w:type="dxa" w:w="3070"/>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Measured by</w:t>
            </w:r>
          </w:p>
        </w:tc>
      </w:tr>
      <w:tr>
        <w:trPr>
          <w:cantSplit/>
          <w:tblHeader w:val="false"/>
        </w:trPr>
        <w:tc>
          <w:tcPr>
            <w:tcW w:type="dxa" w:w="2965"/>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[Goal]</w:t>
            </w:r>
          </w:p>
        </w:tc>
        <w:tc>
          <w:tcPr>
            <w:tcW w:type="dxa" w:w="3325"/>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[Business or control plane]</w:t>
            </w:r>
          </w:p>
        </w:tc>
        <w:tc>
          <w:tcPr>
            <w:tcW w:type="dxa" w:w="3070"/>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[KPI]</w:t>
            </w:r>
          </w:p>
        </w:tc>
      </w:tr>
      <w:tr>
        <w:trPr>
          <w:cantSplit/>
          <w:tblHeader w:val="false"/>
          <w:trHeight w:val="400" w:hRule="atLeast"/>
        </w:trPr>
        <w:tc>
          <w:tcPr>
            <w:tcW w:type="dxa" w:w="2965"/>
            <w:tcMar>
              <w:top w:type="dxa" w:w="60"/>
              <w:left w:type="dxa" w:w="100"/>
              <w:bottom w:type="dxa" w:w="60"/>
              <w:right w:type="dxa" w:w="100"/>
            </w:tcMar>
            <w:vAlign w:val="top"/>
          </w:tcPr>
          <w:p>
            <w:pPr>
              <w:spacing w:after="0" w:before="0" w:line="252"/>
            </w:pPr>
          </w:p>
        </w:tc>
        <w:tc>
          <w:tcPr>
            <w:tcW w:type="dxa" w:w="3325"/>
            <w:tcMar>
              <w:top w:type="dxa" w:w="60"/>
              <w:left w:type="dxa" w:w="100"/>
              <w:bottom w:type="dxa" w:w="60"/>
              <w:right w:type="dxa" w:w="100"/>
            </w:tcMar>
            <w:vAlign w:val="top"/>
          </w:tcPr>
          <w:p>
            <w:pPr>
              <w:spacing w:after="0" w:before="0" w:line="252"/>
            </w:pPr>
          </w:p>
        </w:tc>
        <w:tc>
          <w:tcPr>
            <w:tcW w:type="dxa" w:w="3070"/>
            <w:tcMar>
              <w:top w:type="dxa" w:w="60"/>
              <w:left w:type="dxa" w:w="100"/>
              <w:bottom w:type="dxa" w:w="60"/>
              <w:right w:type="dxa" w:w="100"/>
            </w:tcMar>
            <w:vAlign w:val="top"/>
          </w:tcPr>
          <w:p>
            <w:pPr>
              <w:spacing w:after="0" w:before="0" w:line="252"/>
            </w:pPr>
          </w:p>
        </w:tc>
      </w:tr>
      <w:tr>
        <w:trPr>
          <w:cantSplit/>
          <w:tblHeader w:val="false"/>
          <w:trHeight w:val="400" w:hRule="atLeast"/>
        </w:trPr>
        <w:tc>
          <w:tcPr>
            <w:tcW w:type="dxa" w:w="2965"/>
            <w:tcMar>
              <w:top w:type="dxa" w:w="60"/>
              <w:left w:type="dxa" w:w="100"/>
              <w:bottom w:type="dxa" w:w="60"/>
              <w:right w:type="dxa" w:w="100"/>
            </w:tcMar>
            <w:vAlign w:val="top"/>
          </w:tcPr>
          <w:p>
            <w:pPr>
              <w:spacing w:after="0" w:before="0" w:line="252"/>
            </w:pPr>
          </w:p>
        </w:tc>
        <w:tc>
          <w:tcPr>
            <w:tcW w:type="dxa" w:w="3325"/>
            <w:tcMar>
              <w:top w:type="dxa" w:w="60"/>
              <w:left w:type="dxa" w:w="100"/>
              <w:bottom w:type="dxa" w:w="60"/>
              <w:right w:type="dxa" w:w="100"/>
            </w:tcMar>
            <w:vAlign w:val="top"/>
          </w:tcPr>
          <w:p>
            <w:pPr>
              <w:spacing w:after="0" w:before="0" w:line="252"/>
            </w:pPr>
          </w:p>
        </w:tc>
        <w:tc>
          <w:tcPr>
            <w:tcW w:type="dxa" w:w="3070"/>
            <w:tcMar>
              <w:top w:type="dxa" w:w="60"/>
              <w:left w:type="dxa" w:w="100"/>
              <w:bottom w:type="dxa" w:w="60"/>
              <w:right w:type="dxa" w:w="100"/>
            </w:tcMar>
            <w:vAlign w:val="top"/>
          </w:tcPr>
          <w:p>
            <w:pPr>
              <w:spacing w:after="0" w:before="0" w:line="252"/>
            </w:pPr>
          </w:p>
        </w:tc>
      </w:tr>
      <w:tr>
        <w:trPr>
          <w:cantSplit/>
          <w:tblHeader w:val="false"/>
          <w:trHeight w:val="400" w:hRule="atLeast"/>
        </w:trPr>
        <w:tc>
          <w:tcPr>
            <w:tcW w:type="dxa" w:w="2965"/>
            <w:tcMar>
              <w:top w:type="dxa" w:w="60"/>
              <w:left w:type="dxa" w:w="100"/>
              <w:bottom w:type="dxa" w:w="60"/>
              <w:right w:type="dxa" w:w="100"/>
            </w:tcMar>
            <w:vAlign w:val="top"/>
          </w:tcPr>
          <w:p>
            <w:pPr>
              <w:spacing w:after="0" w:before="0" w:line="252"/>
            </w:pPr>
          </w:p>
        </w:tc>
        <w:tc>
          <w:tcPr>
            <w:tcW w:type="dxa" w:w="3325"/>
            <w:tcMar>
              <w:top w:type="dxa" w:w="60"/>
              <w:left w:type="dxa" w:w="100"/>
              <w:bottom w:type="dxa" w:w="60"/>
              <w:right w:type="dxa" w:w="100"/>
            </w:tcMar>
            <w:vAlign w:val="top"/>
          </w:tcPr>
          <w:p>
            <w:pPr>
              <w:spacing w:after="0" w:before="0" w:line="252"/>
            </w:pPr>
          </w:p>
        </w:tc>
        <w:tc>
          <w:tcPr>
            <w:tcW w:type="dxa" w:w="3070"/>
            <w:tcMar>
              <w:top w:type="dxa" w:w="60"/>
              <w:left w:type="dxa" w:w="100"/>
              <w:bottom w:type="dxa" w:w="60"/>
              <w:right w:type="dxa" w:w="100"/>
            </w:tcMar>
            <w:vAlign w:val="top"/>
          </w:tcPr>
          <w:p>
            <w:pPr>
              <w:spacing w:after="0" w:before="0" w:line="252"/>
            </w:pPr>
          </w:p>
        </w:tc>
      </w:tr>
      <w:tr>
        <w:trPr>
          <w:cantSplit/>
          <w:tblHeader w:val="false"/>
          <w:trHeight w:val="400" w:hRule="atLeast"/>
        </w:trPr>
        <w:tc>
          <w:tcPr>
            <w:tcW w:type="dxa" w:w="2965"/>
            <w:tcMar>
              <w:top w:type="dxa" w:w="60"/>
              <w:left w:type="dxa" w:w="100"/>
              <w:bottom w:type="dxa" w:w="60"/>
              <w:right w:type="dxa" w:w="100"/>
            </w:tcMar>
            <w:vAlign w:val="top"/>
          </w:tcPr>
          <w:p>
            <w:pPr>
              <w:spacing w:after="0" w:before="0" w:line="252"/>
            </w:pPr>
          </w:p>
        </w:tc>
        <w:tc>
          <w:tcPr>
            <w:tcW w:type="dxa" w:w="3325"/>
            <w:tcMar>
              <w:top w:type="dxa" w:w="60"/>
              <w:left w:type="dxa" w:w="100"/>
              <w:bottom w:type="dxa" w:w="60"/>
              <w:right w:type="dxa" w:w="100"/>
            </w:tcMar>
            <w:vAlign w:val="top"/>
          </w:tcPr>
          <w:p>
            <w:pPr>
              <w:spacing w:after="0" w:before="0" w:line="252"/>
            </w:pPr>
          </w:p>
        </w:tc>
        <w:tc>
          <w:tcPr>
            <w:tcW w:type="dxa" w:w="3070"/>
            <w:tcMar>
              <w:top w:type="dxa" w:w="60"/>
              <w:left w:type="dxa" w:w="100"/>
              <w:bottom w:type="dxa" w:w="60"/>
              <w:right w:type="dxa" w:w="100"/>
            </w:tcMar>
            <w:vAlign w:val="top"/>
          </w:tcPr>
          <w:p>
            <w:pPr>
              <w:spacing w:after="0" w:before="0" w:line="252"/>
            </w:pPr>
          </w:p>
        </w:tc>
      </w:tr>
    </w:tbl>
    <w:p>
      <w:pPr>
        <w:spacing w:after="120"/>
      </w:pPr>
    </w:p>
    <w:p>
      <w:pPr>
        <w:pStyle w:val="Heading3"/>
        <w:keepNext/>
      </w:pPr>
      <w:r>
        <w:rPr>
          <w:rFonts w:ascii="Calibri" w:cs="Calibri" w:eastAsia="Calibri" w:hAnsi="Calibri"/>
        </w:rPr>
        <w:t xml:space="preserve">Selection scores</w:t>
      </w:r>
    </w:p>
    <w:tbl>
      <w:tblPr>
        <w:tblW w:type="dxa" w:w="9360"/>
        <w:tblBorders>
          <w:top w:val="single" w:color="CBD5E1" w:sz="4"/>
          <w:left w:val="single" w:color="CBD5E1" w:sz="4"/>
          <w:bottom w:val="single" w:color="CBD5E1" w:sz="4"/>
          <w:right w:val="single" w:color="CBD5E1" w:sz="4"/>
          <w:insideH w:val="single" w:color="CBD5E1" w:sz="4"/>
          <w:insideV w:val="single" w:color="CBD5E1" w:sz="4"/>
        </w:tblBorders>
        <w:tblLayout w:type="fixed"/>
      </w:tblPr>
      <w:tblGrid>
        <w:gridCol w:w="2611"/>
        <w:gridCol w:w="3391"/>
        <w:gridCol w:w="3358"/>
      </w:tblGrid>
      <w:tr>
        <w:trPr>
          <w:cantSplit/>
          <w:tblHeader/>
        </w:trPr>
        <w:tc>
          <w:tcPr>
            <w:tcW w:type="dxa" w:w="2611"/>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Criterion</w:t>
            </w:r>
          </w:p>
        </w:tc>
        <w:tc>
          <w:tcPr>
            <w:tcW w:type="dxa" w:w="3391"/>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Score (1–5)</w:t>
            </w:r>
          </w:p>
        </w:tc>
        <w:tc>
          <w:tcPr>
            <w:tcW w:type="dxa" w:w="3358"/>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Evidence</w:t>
            </w:r>
          </w:p>
        </w:tc>
      </w:tr>
      <w:tr>
        <w:trPr>
          <w:cantSplit/>
          <w:tblHeader w:val="false"/>
        </w:trPr>
        <w:tc>
          <w:tcPr>
            <w:tcW w:type="dxa" w:w="2611"/>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Value at stake</w:t>
            </w:r>
          </w:p>
        </w:tc>
        <w:tc>
          <w:tcPr>
            <w:tcW w:type="dxa" w:w="3391"/>
            <w:tcMar>
              <w:top w:type="dxa" w:w="60"/>
              <w:left w:type="dxa" w:w="100"/>
              <w:bottom w:type="dxa" w:w="60"/>
              <w:right w:type="dxa" w:w="100"/>
            </w:tcMar>
            <w:vAlign w:val="top"/>
          </w:tcPr>
          <w:p>
            <w:pPr>
              <w:spacing w:after="0" w:before="0" w:line="252"/>
            </w:pPr>
          </w:p>
        </w:tc>
        <w:tc>
          <w:tcPr>
            <w:tcW w:type="dxa" w:w="3358"/>
            <w:tcMar>
              <w:top w:type="dxa" w:w="60"/>
              <w:left w:type="dxa" w:w="100"/>
              <w:bottom w:type="dxa" w:w="60"/>
              <w:right w:type="dxa" w:w="100"/>
            </w:tcMar>
            <w:vAlign w:val="top"/>
          </w:tcPr>
          <w:p>
            <w:pPr>
              <w:spacing w:after="0" w:before="0" w:line="252"/>
            </w:pPr>
          </w:p>
        </w:tc>
      </w:tr>
      <w:tr>
        <w:trPr>
          <w:cantSplit/>
          <w:tblHeader w:val="false"/>
        </w:trPr>
        <w:tc>
          <w:tcPr>
            <w:tcW w:type="dxa" w:w="2611"/>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Visible pain</w:t>
            </w:r>
          </w:p>
        </w:tc>
        <w:tc>
          <w:tcPr>
            <w:tcW w:type="dxa" w:w="3391"/>
            <w:tcMar>
              <w:top w:type="dxa" w:w="60"/>
              <w:left w:type="dxa" w:w="100"/>
              <w:bottom w:type="dxa" w:w="60"/>
              <w:right w:type="dxa" w:w="100"/>
            </w:tcMar>
            <w:vAlign w:val="top"/>
          </w:tcPr>
          <w:p>
            <w:pPr>
              <w:spacing w:after="0" w:before="0" w:line="252"/>
            </w:pPr>
          </w:p>
        </w:tc>
        <w:tc>
          <w:tcPr>
            <w:tcW w:type="dxa" w:w="3358"/>
            <w:tcMar>
              <w:top w:type="dxa" w:w="60"/>
              <w:left w:type="dxa" w:w="100"/>
              <w:bottom w:type="dxa" w:w="60"/>
              <w:right w:type="dxa" w:w="100"/>
            </w:tcMar>
            <w:vAlign w:val="top"/>
          </w:tcPr>
          <w:p>
            <w:pPr>
              <w:spacing w:after="0" w:before="0" w:line="252"/>
            </w:pPr>
          </w:p>
        </w:tc>
      </w:tr>
      <w:tr>
        <w:trPr>
          <w:cantSplit/>
          <w:tblHeader w:val="false"/>
        </w:trPr>
        <w:tc>
          <w:tcPr>
            <w:tcW w:type="dxa" w:w="2611"/>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Reachable systems</w:t>
            </w:r>
          </w:p>
        </w:tc>
        <w:tc>
          <w:tcPr>
            <w:tcW w:type="dxa" w:w="3391"/>
            <w:tcMar>
              <w:top w:type="dxa" w:w="60"/>
              <w:left w:type="dxa" w:w="100"/>
              <w:bottom w:type="dxa" w:w="60"/>
              <w:right w:type="dxa" w:w="100"/>
            </w:tcMar>
            <w:vAlign w:val="top"/>
          </w:tcPr>
          <w:p>
            <w:pPr>
              <w:spacing w:after="0" w:before="0" w:line="252"/>
            </w:pPr>
          </w:p>
        </w:tc>
        <w:tc>
          <w:tcPr>
            <w:tcW w:type="dxa" w:w="3358"/>
            <w:tcMar>
              <w:top w:type="dxa" w:w="60"/>
              <w:left w:type="dxa" w:w="100"/>
              <w:bottom w:type="dxa" w:w="60"/>
              <w:right w:type="dxa" w:w="100"/>
            </w:tcMar>
            <w:vAlign w:val="top"/>
          </w:tcPr>
          <w:p>
            <w:pPr>
              <w:spacing w:after="0" w:before="0" w:line="252"/>
            </w:pPr>
          </w:p>
        </w:tc>
      </w:tr>
      <w:tr>
        <w:trPr>
          <w:cantSplit/>
          <w:tblHeader w:val="false"/>
        </w:trPr>
        <w:tc>
          <w:tcPr>
            <w:tcW w:type="dxa" w:w="2611"/>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Data readiness</w:t>
            </w:r>
          </w:p>
        </w:tc>
        <w:tc>
          <w:tcPr>
            <w:tcW w:type="dxa" w:w="3391"/>
            <w:tcMar>
              <w:top w:type="dxa" w:w="60"/>
              <w:left w:type="dxa" w:w="100"/>
              <w:bottom w:type="dxa" w:w="60"/>
              <w:right w:type="dxa" w:w="100"/>
            </w:tcMar>
            <w:vAlign w:val="top"/>
          </w:tcPr>
          <w:p>
            <w:pPr>
              <w:spacing w:after="0" w:before="0" w:line="252"/>
            </w:pPr>
          </w:p>
        </w:tc>
        <w:tc>
          <w:tcPr>
            <w:tcW w:type="dxa" w:w="3358"/>
            <w:tcMar>
              <w:top w:type="dxa" w:w="60"/>
              <w:left w:type="dxa" w:w="100"/>
              <w:bottom w:type="dxa" w:w="60"/>
              <w:right w:type="dxa" w:w="100"/>
            </w:tcMar>
            <w:vAlign w:val="top"/>
          </w:tcPr>
          <w:p>
            <w:pPr>
              <w:spacing w:after="0" w:before="0" w:line="252"/>
            </w:pPr>
          </w:p>
        </w:tc>
      </w:tr>
      <w:tr>
        <w:trPr>
          <w:cantSplit/>
          <w:tblHeader w:val="false"/>
        </w:trPr>
        <w:tc>
          <w:tcPr>
            <w:tcW w:type="dxa" w:w="2611"/>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Safe first step</w:t>
            </w:r>
          </w:p>
        </w:tc>
        <w:tc>
          <w:tcPr>
            <w:tcW w:type="dxa" w:w="3391"/>
            <w:tcMar>
              <w:top w:type="dxa" w:w="60"/>
              <w:left w:type="dxa" w:w="100"/>
              <w:bottom w:type="dxa" w:w="60"/>
              <w:right w:type="dxa" w:w="100"/>
            </w:tcMar>
            <w:vAlign w:val="top"/>
          </w:tcPr>
          <w:p>
            <w:pPr>
              <w:spacing w:after="0" w:before="0" w:line="252"/>
            </w:pPr>
          </w:p>
        </w:tc>
        <w:tc>
          <w:tcPr>
            <w:tcW w:type="dxa" w:w="3358"/>
            <w:tcMar>
              <w:top w:type="dxa" w:w="60"/>
              <w:left w:type="dxa" w:w="100"/>
              <w:bottom w:type="dxa" w:w="60"/>
              <w:right w:type="dxa" w:w="100"/>
            </w:tcMar>
            <w:vAlign w:val="top"/>
          </w:tcPr>
          <w:p>
            <w:pPr>
              <w:spacing w:after="0" w:before="0" w:line="252"/>
            </w:pPr>
          </w:p>
        </w:tc>
      </w:tr>
      <w:tr>
        <w:trPr>
          <w:cantSplit/>
          <w:tblHeader w:val="false"/>
        </w:trPr>
        <w:tc>
          <w:tcPr>
            <w:tcW w:type="dxa" w:w="2611"/>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Measurable in 90 days</w:t>
            </w:r>
          </w:p>
        </w:tc>
        <w:tc>
          <w:tcPr>
            <w:tcW w:type="dxa" w:w="3391"/>
            <w:tcMar>
              <w:top w:type="dxa" w:w="60"/>
              <w:left w:type="dxa" w:w="100"/>
              <w:bottom w:type="dxa" w:w="60"/>
              <w:right w:type="dxa" w:w="100"/>
            </w:tcMar>
            <w:vAlign w:val="top"/>
          </w:tcPr>
          <w:p>
            <w:pPr>
              <w:spacing w:after="0" w:before="0" w:line="252"/>
            </w:pPr>
          </w:p>
        </w:tc>
        <w:tc>
          <w:tcPr>
            <w:tcW w:type="dxa" w:w="3358"/>
            <w:tcMar>
              <w:top w:type="dxa" w:w="60"/>
              <w:left w:type="dxa" w:w="100"/>
              <w:bottom w:type="dxa" w:w="60"/>
              <w:right w:type="dxa" w:w="100"/>
            </w:tcMar>
            <w:vAlign w:val="top"/>
          </w:tcPr>
          <w:p>
            <w:pPr>
              <w:spacing w:after="0" w:before="0" w:line="252"/>
            </w:pPr>
          </w:p>
        </w:tc>
      </w:tr>
      <w:tr>
        <w:trPr>
          <w:cantSplit/>
          <w:tblHeader w:val="false"/>
        </w:trPr>
        <w:tc>
          <w:tcPr>
            <w:tcW w:type="dxa" w:w="2611"/>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Sponsor and owner</w:t>
            </w:r>
          </w:p>
        </w:tc>
        <w:tc>
          <w:tcPr>
            <w:tcW w:type="dxa" w:w="3391"/>
            <w:tcMar>
              <w:top w:type="dxa" w:w="60"/>
              <w:left w:type="dxa" w:w="100"/>
              <w:bottom w:type="dxa" w:w="60"/>
              <w:right w:type="dxa" w:w="100"/>
            </w:tcMar>
            <w:vAlign w:val="top"/>
          </w:tcPr>
          <w:p>
            <w:pPr>
              <w:spacing w:after="0" w:before="0" w:line="252"/>
            </w:pPr>
          </w:p>
        </w:tc>
        <w:tc>
          <w:tcPr>
            <w:tcW w:type="dxa" w:w="3358"/>
            <w:tcMar>
              <w:top w:type="dxa" w:w="60"/>
              <w:left w:type="dxa" w:w="100"/>
              <w:bottom w:type="dxa" w:w="60"/>
              <w:right w:type="dxa" w:w="100"/>
            </w:tcMar>
            <w:vAlign w:val="top"/>
          </w:tcPr>
          <w:p>
            <w:pPr>
              <w:spacing w:after="0" w:before="0" w:line="252"/>
            </w:pPr>
          </w:p>
        </w:tc>
      </w:tr>
      <w:tr>
        <w:trPr>
          <w:cantSplit/>
          <w:tblHeader w:val="false"/>
        </w:trPr>
        <w:tc>
          <w:tcPr>
            <w:tcW w:type="dxa" w:w="2611"/>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Total (out of 35)</w:t>
            </w:r>
          </w:p>
        </w:tc>
        <w:tc>
          <w:tcPr>
            <w:tcW w:type="dxa" w:w="3391"/>
            <w:tcMar>
              <w:top w:type="dxa" w:w="60"/>
              <w:left w:type="dxa" w:w="100"/>
              <w:bottom w:type="dxa" w:w="60"/>
              <w:right w:type="dxa" w:w="100"/>
            </w:tcMar>
            <w:vAlign w:val="top"/>
          </w:tcPr>
          <w:p>
            <w:pPr>
              <w:spacing w:after="0" w:before="0" w:line="252"/>
            </w:pPr>
          </w:p>
        </w:tc>
        <w:tc>
          <w:tcPr>
            <w:tcW w:type="dxa" w:w="3358"/>
            <w:tcMar>
              <w:top w:type="dxa" w:w="60"/>
              <w:left w:type="dxa" w:w="100"/>
              <w:bottom w:type="dxa" w:w="60"/>
              <w:right w:type="dxa" w:w="100"/>
            </w:tcMar>
            <w:vAlign w:val="top"/>
          </w:tcPr>
          <w:p>
            <w:pPr>
              <w:spacing w:after="0" w:before="0" w:line="252"/>
            </w:pPr>
          </w:p>
        </w:tc>
      </w:tr>
    </w:tbl>
    <w:p>
      <w:pPr>
        <w:spacing w:after="120"/>
      </w:pPr>
    </w:p>
    <w:p>
      <w:pPr>
        <w:keepNext/>
        <w:spacing w:after="60" w:before="120" w:line="240" w:lineRule="auto"/>
        <w:jc w:val="center"/>
      </w:pPr>
      <w:r>
        <w:drawing>
          <wp:inline distT="0" distB="0" distL="0" distR="0">
            <wp:extent cx="5943600" cy="2619375"/>
            <wp:effectExtent t="0" r="0" b="0" l="0"/>
            <wp:docPr id="1" name="Figure 5" descr="Use case at a glance template" title="Fig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descr=""/>
                    <pic:cNvPicPr>
                      <a:picLocks noChangeAspect="1" noChangeArrowheads="1"/>
                    </pic:cNvPicPr>
                  </pic:nvPicPr>
                  <pic:blipFill>
                    <a:blip r:embed="rId11" cstate="none"/>
                    <a:srcRect/>
                    <a:stretch>
                      <a:fillRect/>
                    </a:stretch>
                  </pic:blipFill>
                  <pic:spPr bwMode="auto">
                    <a:xfrm>
                      <a:off x="0" y="0"/>
                      <a:ext cx="5943600" cy="2619375"/>
                    </a:xfrm>
                    <a:prstGeom prst="rect">
                      <a:avLst/>
                    </a:prstGeom>
                  </pic:spPr>
                </pic:pic>
              </a:graphicData>
            </a:graphic>
          </wp:inline>
        </w:drawing>
      </w:r>
    </w:p>
    <w:p>
      <w:pPr>
        <w:spacing w:after="240"/>
      </w:pPr>
      <w:r>
        <w:rPr>
          <w:rFonts w:ascii="Calibri" w:cs="Calibri" w:eastAsia="Calibri" w:hAnsi="Calibri"/>
          <w:i/>
          <w:iCs/>
          <w:color w:val="64748B"/>
          <w:sz w:val="18"/>
          <w:szCs w:val="18"/>
        </w:rPr>
        <w:t xml:space="preserve">Figure 5. Template: the use case at a glance, as it appears in Part 2 of the client deck. Amber boxes are human decisions, and blue boxes are agents and their tiers.</w:t>
      </w:r>
    </w:p>
    <w:p>
      <w:pPr>
        <w:pStyle w:val="Heading2"/>
        <w:keepNext/>
        <w:pageBreakBefore/>
      </w:pPr>
      <w:bookmarkStart w:name="p1_T2" w:id="4"/>
      <w:r>
        <w:rPr>
          <w:rFonts w:ascii="Calibri" w:cs="Calibri" w:eastAsia="Calibri" w:hAnsi="Calibri"/>
        </w:rPr>
        <w:t xml:space="preserve">T2. Business case and value hypothesis</w:t>
      </w:r>
      <w:bookmarkEnd w:id="4"/>
    </w:p>
    <w:tbl>
      <w:tblPr>
        <w:tblW w:type="dxa" w:w="9360"/>
        <w:tblBorders>
          <w:top w:val="single" w:color="B6D4EA" w:sz="4"/>
          <w:left w:val="single" w:color="B6D4EA" w:sz="4"/>
          <w:bottom w:val="single" w:color="B6D4EA" w:sz="4"/>
          <w:right w:val="single" w:color="B6D4EA" w:sz="4"/>
          <w:insideH w:val="single" w:color="B6D4EA" w:sz="4"/>
          <w:insideV w:val="single" w:color="B6D4EA" w:sz="4"/>
        </w:tblBorders>
        <w:tblLayout w:type="fixed"/>
      </w:tblPr>
      <w:tblGrid>
        <w:gridCol w:w="9360"/>
      </w:tblGrid>
      <w:tr>
        <w:trPr>
          <w:cantSplit/>
        </w:trPr>
        <w:tc>
          <w:tcPr>
            <w:tcW w:type="dxa" w:w="9360"/>
            <w:shd w:fill="EEF6FC" w:color="auto" w:val="clear"/>
            <w:tcMar>
              <w:top w:type="dxa" w:w="140"/>
              <w:left w:type="dxa" w:w="200"/>
              <w:bottom w:type="dxa" w:w="140"/>
              <w:right w:type="dxa" w:w="200"/>
            </w:tcMar>
          </w:tcPr>
          <w:p>
            <w:pPr>
              <w:spacing w:after="100"/>
            </w:pPr>
            <w:r>
              <w:rPr>
                <w:rFonts w:ascii="Calibri" w:cs="Calibri" w:eastAsia="Calibri" w:hAnsi="Calibri"/>
                <w:b/>
                <w:bCs/>
                <w:color w:val="0369A1"/>
                <w:sz w:val="22"/>
                <w:szCs w:val="22"/>
              </w:rPr>
              <w:t xml:space="preserve">How to use T2</w:t>
            </w:r>
          </w:p>
          <w:p>
            <w:pPr>
              <w:spacing w:after="80"/>
            </w:pPr>
            <w:r>
              <w:rPr>
                <w:rFonts w:ascii="Calibri" w:cs="Calibri" w:eastAsia="Calibri" w:hAnsi="Calibri"/>
                <w:b/>
                <w:bCs/>
                <w:sz w:val="20"/>
                <w:szCs w:val="20"/>
              </w:rPr>
              <w:t xml:space="preserve">Purpose.</w:t>
            </w:r>
            <w:r>
              <w:rPr>
                <w:rFonts w:ascii="Calibri" w:cs="Calibri" w:eastAsia="Calibri" w:hAnsi="Calibri"/>
                <w:sz w:val="20"/>
                <w:szCs w:val="20"/>
              </w:rPr>
              <w:t xml:space="preserve">  State the value at stake as a few levers with formulas that the business owner and finance can check.</w:t>
            </w:r>
          </w:p>
          <w:p>
            <w:pPr>
              <w:spacing w:after="80"/>
            </w:pPr>
            <w:r>
              <w:rPr>
                <w:rFonts w:ascii="Calibri" w:cs="Calibri" w:eastAsia="Calibri" w:hAnsi="Calibri"/>
                <w:b/>
                <w:bCs/>
                <w:sz w:val="20"/>
                <w:szCs w:val="20"/>
              </w:rPr>
              <w:t xml:space="preserve">When.</w:t>
            </w:r>
            <w:r>
              <w:rPr>
                <w:rFonts w:ascii="Calibri" w:cs="Calibri" w:eastAsia="Calibri" w:hAnsi="Calibri"/>
                <w:sz w:val="20"/>
                <w:szCs w:val="20"/>
              </w:rPr>
              <w:t xml:space="preserve">  Step 1 (frame) as a hypothesis, then step 5 (phase) with measured baselines.</w:t>
            </w:r>
          </w:p>
          <w:p>
            <w:pPr>
              <w:spacing w:after="80"/>
            </w:pPr>
            <w:r>
              <w:rPr>
                <w:rFonts w:ascii="Calibri" w:cs="Calibri" w:eastAsia="Calibri" w:hAnsi="Calibri"/>
                <w:b/>
                <w:bCs/>
                <w:sz w:val="20"/>
                <w:szCs w:val="20"/>
              </w:rPr>
              <w:t xml:space="preserve">Who.</w:t>
            </w:r>
            <w:r>
              <w:rPr>
                <w:rFonts w:ascii="Calibri" w:cs="Calibri" w:eastAsia="Calibri" w:hAnsi="Calibri"/>
                <w:sz w:val="20"/>
                <w:szCs w:val="20"/>
              </w:rPr>
              <w:t xml:space="preserve">  The engagement lead, with the business owner and the finance partner.</w:t>
            </w:r>
          </w:p>
          <w:p>
            <w:pPr>
              <w:spacing w:after="60" w:before="120"/>
            </w:pPr>
            <w:r>
              <w:rPr>
                <w:rFonts w:ascii="Calibri" w:cs="Calibri" w:eastAsia="Calibri" w:hAnsi="Calibri"/>
                <w:b/>
                <w:bCs/>
                <w:color w:val="1E293B"/>
                <w:sz w:val="20"/>
                <w:szCs w:val="20"/>
              </w:rPr>
              <w:t xml:space="preserve">How to fill it</w:t>
            </w:r>
          </w:p>
          <w:p>
            <w:pPr>
              <w:pStyle w:val="ListParagraph"/>
              <w:numPr>
                <w:ilvl w:val="0"/>
                <w:numId w:val="4"/>
              </w:numPr>
              <w:spacing w:after="60"/>
            </w:pPr>
            <w:r>
              <w:rPr>
                <w:rFonts w:ascii="Calibri" w:cs="Calibri" w:eastAsia="Calibri" w:hAnsi="Calibri"/>
                <w:sz w:val="20"/>
                <w:szCs w:val="20"/>
              </w:rPr>
              <w:t xml:space="preserve">Pick the levers that apply: capacity, revenue, utilization, cost avoided, risk avoided.</w:t>
            </w:r>
          </w:p>
          <w:p>
            <w:pPr>
              <w:pStyle w:val="ListParagraph"/>
              <w:numPr>
                <w:ilvl w:val="0"/>
                <w:numId w:val="4"/>
              </w:numPr>
              <w:spacing w:after="60"/>
            </w:pPr>
            <w:r>
              <w:rPr>
                <w:rFonts w:ascii="Calibri" w:cs="Calibri" w:eastAsia="Calibri" w:hAnsi="Calibri"/>
                <w:sz w:val="20"/>
                <w:szCs w:val="20"/>
              </w:rPr>
              <w:t xml:space="preserve">For each, write how the solution delivers it and the formula with its inputs.</w:t>
            </w:r>
          </w:p>
          <w:p>
            <w:pPr>
              <w:pStyle w:val="ListParagraph"/>
              <w:numPr>
                <w:ilvl w:val="0"/>
                <w:numId w:val="4"/>
              </w:numPr>
              <w:spacing w:after="60"/>
            </w:pPr>
            <w:r>
              <w:rPr>
                <w:rFonts w:ascii="Calibri" w:cs="Calibri" w:eastAsia="Calibri" w:hAnsi="Calibri"/>
                <w:sz w:val="20"/>
                <w:szCs w:val="20"/>
              </w:rPr>
              <w:t xml:space="preserve">Take inputs from the client (volumes, rates, loaded costs) and record their source.</w:t>
            </w:r>
          </w:p>
          <w:p>
            <w:pPr>
              <w:pStyle w:val="ListParagraph"/>
              <w:numPr>
                <w:ilvl w:val="0"/>
                <w:numId w:val="4"/>
              </w:numPr>
              <w:spacing w:after="60"/>
            </w:pPr>
            <w:r>
              <w:rPr>
                <w:rFonts w:ascii="Calibri" w:cs="Calibri" w:eastAsia="Calibri" w:hAnsi="Calibri"/>
                <w:sz w:val="20"/>
                <w:szCs w:val="20"/>
              </w:rPr>
              <w:t xml:space="preserve">Mark each lever’s confidence (high, medium, low) and what would raise it.</w:t>
            </w:r>
          </w:p>
          <w:p>
            <w:pPr>
              <w:pStyle w:val="ListParagraph"/>
              <w:numPr>
                <w:ilvl w:val="0"/>
                <w:numId w:val="4"/>
              </w:numPr>
              <w:spacing w:after="60"/>
            </w:pPr>
            <w:r>
              <w:rPr>
                <w:rFonts w:ascii="Calibri" w:cs="Calibri" w:eastAsia="Calibri" w:hAnsi="Calibri"/>
                <w:sz w:val="20"/>
                <w:szCs w:val="20"/>
              </w:rPr>
              <w:t xml:space="preserve">Total the run rate at full scale, before platform, model and change costs.</w:t>
            </w:r>
          </w:p>
          <w:p>
            <w:pPr>
              <w:pStyle w:val="ListParagraph"/>
              <w:numPr>
                <w:ilvl w:val="0"/>
                <w:numId w:val="4"/>
              </w:numPr>
              <w:spacing w:after="60"/>
            </w:pPr>
            <w:r>
              <w:rPr>
                <w:rFonts w:ascii="Calibri" w:cs="Calibri" w:eastAsia="Calibri" w:hAnsi="Calibri"/>
                <w:sz w:val="20"/>
                <w:szCs w:val="20"/>
              </w:rPr>
              <w:t xml:space="preserve">Record every assumption and who agreed it.</w:t>
            </w:r>
          </w:p>
          <w:p>
            <w:pPr>
              <w:pStyle w:val="ListParagraph"/>
              <w:numPr>
                <w:ilvl w:val="0"/>
                <w:numId w:val="4"/>
              </w:numPr>
              <w:spacing w:after="60"/>
            </w:pPr>
            <w:r>
              <w:rPr>
                <w:rFonts w:ascii="Calibri" w:cs="Calibri" w:eastAsia="Calibri" w:hAnsi="Calibri"/>
                <w:sz w:val="20"/>
                <w:szCs w:val="20"/>
              </w:rPr>
              <w:t xml:space="preserve">Set the total against the published payback benchmarks (</w:t>
            </w:r>
            <w:hyperlink w:history="1" r:id="rId5hxxmtf0rhmk1dgyvsl09">
              <w:r>
                <w:rPr>
                  <w:rFonts w:ascii="Calibri" w:cs="Calibri" w:eastAsia="Calibri" w:hAnsi="Calibri"/>
                  <w:color w:val="0369A1"/>
                  <w:sz w:val="20"/>
                  <w:szCs w:val="20"/>
                  <w:u w:val="single"/>
                </w:rPr>
                <w:t xml:space="preserve">Section 6</w:t>
              </w:r>
            </w:hyperlink>
            <w:r>
              <w:rPr>
                <w:rFonts w:ascii="Calibri" w:cs="Calibri" w:eastAsia="Calibri" w:hAnsi="Calibri"/>
                <w:sz w:val="20"/>
                <w:szCs w:val="20"/>
              </w:rPr>
              <w:t xml:space="preserve">), with separate horizons for generative and agentic slices.</w:t>
            </w:r>
          </w:p>
          <w:p>
            <w:pPr>
              <w:spacing w:after="60" w:before="120"/>
            </w:pPr>
            <w:r>
              <w:rPr>
                <w:rFonts w:ascii="Calibri" w:cs="Calibri" w:eastAsia="Calibri" w:hAnsi="Calibri"/>
                <w:b/>
                <w:bCs/>
                <w:color w:val="1E293B"/>
                <w:sz w:val="20"/>
                <w:szCs w:val="20"/>
              </w:rPr>
              <w:t xml:space="preserve">Tips</w:t>
            </w:r>
          </w:p>
          <w:p>
            <w:pPr>
              <w:pStyle w:val="ListParagraph"/>
              <w:numPr>
                <w:ilvl w:val="0"/>
                <w:numId w:val="5"/>
              </w:numPr>
              <w:spacing w:after="60"/>
            </w:pPr>
            <w:r>
              <w:rPr>
                <w:rFonts w:ascii="Calibri" w:cs="Calibri" w:eastAsia="Calibri" w:hAnsi="Calibri"/>
                <w:sz w:val="20"/>
                <w:szCs w:val="20"/>
              </w:rPr>
              <w:t xml:space="preserve">Prefer a conservative, checkable figure to a large, vague one.</w:t>
            </w:r>
          </w:p>
          <w:p>
            <w:pPr>
              <w:pStyle w:val="ListParagraph"/>
              <w:numPr>
                <w:ilvl w:val="0"/>
                <w:numId w:val="5"/>
              </w:numPr>
              <w:spacing w:after="60"/>
            </w:pPr>
            <w:r>
              <w:rPr>
                <w:rFonts w:ascii="Calibri" w:cs="Calibri" w:eastAsia="Calibri" w:hAnsi="Calibri"/>
                <w:sz w:val="20"/>
                <w:szCs w:val="20"/>
              </w:rPr>
              <w:t xml:space="preserve">Describe risk avoided in words and evidence unless the client has its own number.</w:t>
            </w:r>
          </w:p>
          <w:p>
            <w:pPr>
              <w:spacing w:after="80"/>
            </w:pPr>
            <w:r>
              <w:rPr>
                <w:rFonts w:ascii="Calibri" w:cs="Calibri" w:eastAsia="Calibri" w:hAnsi="Calibri"/>
                <w:b/>
                <w:bCs/>
                <w:sz w:val="20"/>
                <w:szCs w:val="20"/>
              </w:rPr>
              <w:t xml:space="preserve">Feeds.</w:t>
            </w:r>
            <w:r>
              <w:rPr>
                <w:rFonts w:ascii="Calibri" w:cs="Calibri" w:eastAsia="Calibri" w:hAnsi="Calibri"/>
                <w:sz w:val="20"/>
                <w:szCs w:val="20"/>
              </w:rPr>
              <w:t xml:space="preserve">  Client deck: The value at stake, Value arrives at every milestone. Client report: section 4.</w:t>
            </w:r>
          </w:p>
        </w:tc>
      </w:tr>
    </w:tbl>
    <w:p>
      <w:pPr>
        <w:spacing w:after="120"/>
      </w:pPr>
    </w:p>
    <w:tbl>
      <w:tblPr>
        <w:tblW w:type="dxa" w:w="9360"/>
        <w:tblBorders>
          <w:top w:val="single" w:color="CBD5E1" w:sz="4"/>
          <w:left w:val="single" w:color="CBD5E1" w:sz="4"/>
          <w:bottom w:val="single" w:color="CBD5E1" w:sz="4"/>
          <w:right w:val="single" w:color="CBD5E1" w:sz="4"/>
          <w:insideH w:val="single" w:color="CBD5E1" w:sz="4"/>
          <w:insideV w:val="single" w:color="CBD5E1" w:sz="4"/>
        </w:tblBorders>
        <w:tblLayout w:type="fixed"/>
      </w:tblPr>
      <w:tblGrid>
        <w:gridCol w:w="2159"/>
        <w:gridCol w:w="1389"/>
        <w:gridCol w:w="2437"/>
        <w:gridCol w:w="1808"/>
        <w:gridCol w:w="1567"/>
      </w:tblGrid>
      <w:tr>
        <w:trPr>
          <w:cantSplit/>
          <w:tblHeader/>
        </w:trPr>
        <w:tc>
          <w:tcPr>
            <w:tcW w:type="dxa" w:w="2159"/>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Value lever</w:t>
            </w:r>
          </w:p>
        </w:tc>
        <w:tc>
          <w:tcPr>
            <w:tcW w:type="dxa" w:w="1389"/>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How the solution delivers it</w:t>
            </w:r>
          </w:p>
        </w:tc>
        <w:tc>
          <w:tcPr>
            <w:tcW w:type="dxa" w:w="2437"/>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Formula and inputs</w:t>
            </w:r>
          </w:p>
        </w:tc>
        <w:tc>
          <w:tcPr>
            <w:tcW w:type="dxa" w:w="1808"/>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Annual value (illustrative)</w:t>
            </w:r>
          </w:p>
        </w:tc>
        <w:tc>
          <w:tcPr>
            <w:tcW w:type="dxa" w:w="1567"/>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Confidence</w:t>
            </w:r>
          </w:p>
        </w:tc>
      </w:tr>
      <w:tr>
        <w:trPr>
          <w:cantSplit/>
          <w:tblHeader w:val="false"/>
        </w:trPr>
        <w:tc>
          <w:tcPr>
            <w:tcW w:type="dxa" w:w="2159"/>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Capacity released</w:t>
            </w:r>
          </w:p>
        </w:tc>
        <w:tc>
          <w:tcPr>
            <w:tcW w:type="dxa" w:w="1389"/>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[How]</w:t>
            </w:r>
          </w:p>
        </w:tc>
        <w:tc>
          <w:tcPr>
            <w:tcW w:type="dxa" w:w="2437"/>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[Volume × unit × value]</w:t>
            </w:r>
          </w:p>
        </w:tc>
        <w:tc>
          <w:tcPr>
            <w:tcW w:type="dxa" w:w="1808"/>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w:t>
            </w:r>
          </w:p>
        </w:tc>
        <w:tc>
          <w:tcPr>
            <w:tcW w:type="dxa" w:w="1567"/>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[H, M or L]</w:t>
            </w:r>
          </w:p>
        </w:tc>
      </w:tr>
      <w:tr>
        <w:trPr>
          <w:cantSplit/>
          <w:tblHeader w:val="false"/>
        </w:trPr>
        <w:tc>
          <w:tcPr>
            <w:tcW w:type="dxa" w:w="2159"/>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Revenue protected or accelerated</w:t>
            </w:r>
          </w:p>
        </w:tc>
        <w:tc>
          <w:tcPr>
            <w:tcW w:type="dxa" w:w="1389"/>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[How]</w:t>
            </w:r>
          </w:p>
        </w:tc>
        <w:tc>
          <w:tcPr>
            <w:tcW w:type="dxa" w:w="2437"/>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[Volume × unit × value]</w:t>
            </w:r>
          </w:p>
        </w:tc>
        <w:tc>
          <w:tcPr>
            <w:tcW w:type="dxa" w:w="1808"/>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w:t>
            </w:r>
          </w:p>
        </w:tc>
        <w:tc>
          <w:tcPr>
            <w:tcW w:type="dxa" w:w="1567"/>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[H, M or L]</w:t>
            </w:r>
          </w:p>
        </w:tc>
      </w:tr>
      <w:tr>
        <w:trPr>
          <w:cantSplit/>
          <w:tblHeader w:val="false"/>
        </w:trPr>
        <w:tc>
          <w:tcPr>
            <w:tcW w:type="dxa" w:w="2159"/>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Utilization and throughput</w:t>
            </w:r>
          </w:p>
        </w:tc>
        <w:tc>
          <w:tcPr>
            <w:tcW w:type="dxa" w:w="1389"/>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[How]</w:t>
            </w:r>
          </w:p>
        </w:tc>
        <w:tc>
          <w:tcPr>
            <w:tcW w:type="dxa" w:w="2437"/>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[Volume × unit × value]</w:t>
            </w:r>
          </w:p>
        </w:tc>
        <w:tc>
          <w:tcPr>
            <w:tcW w:type="dxa" w:w="1808"/>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w:t>
            </w:r>
          </w:p>
        </w:tc>
        <w:tc>
          <w:tcPr>
            <w:tcW w:type="dxa" w:w="1567"/>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[H, M or L]</w:t>
            </w:r>
          </w:p>
        </w:tc>
      </w:tr>
      <w:tr>
        <w:trPr>
          <w:cantSplit/>
          <w:tblHeader w:val="false"/>
        </w:trPr>
        <w:tc>
          <w:tcPr>
            <w:tcW w:type="dxa" w:w="2159"/>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Cost avoided</w:t>
            </w:r>
          </w:p>
        </w:tc>
        <w:tc>
          <w:tcPr>
            <w:tcW w:type="dxa" w:w="1389"/>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[How]</w:t>
            </w:r>
          </w:p>
        </w:tc>
        <w:tc>
          <w:tcPr>
            <w:tcW w:type="dxa" w:w="2437"/>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[Volume × unit × value]</w:t>
            </w:r>
          </w:p>
        </w:tc>
        <w:tc>
          <w:tcPr>
            <w:tcW w:type="dxa" w:w="1808"/>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w:t>
            </w:r>
          </w:p>
        </w:tc>
        <w:tc>
          <w:tcPr>
            <w:tcW w:type="dxa" w:w="1567"/>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[H, M or L]</w:t>
            </w:r>
          </w:p>
        </w:tc>
      </w:tr>
      <w:tr>
        <w:trPr>
          <w:cantSplit/>
          <w:tblHeader w:val="false"/>
        </w:trPr>
        <w:tc>
          <w:tcPr>
            <w:tcW w:type="dxa" w:w="2159"/>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Risk avoided</w:t>
            </w:r>
          </w:p>
        </w:tc>
        <w:tc>
          <w:tcPr>
            <w:tcW w:type="dxa" w:w="1389"/>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[How]</w:t>
            </w:r>
          </w:p>
        </w:tc>
        <w:tc>
          <w:tcPr>
            <w:tcW w:type="dxa" w:w="2437"/>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[Volume × unit × value]</w:t>
            </w:r>
          </w:p>
        </w:tc>
        <w:tc>
          <w:tcPr>
            <w:tcW w:type="dxa" w:w="1808"/>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w:t>
            </w:r>
          </w:p>
        </w:tc>
        <w:tc>
          <w:tcPr>
            <w:tcW w:type="dxa" w:w="1567"/>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[H, M or L]</w:t>
            </w:r>
          </w:p>
        </w:tc>
      </w:tr>
    </w:tbl>
    <w:p>
      <w:pPr>
        <w:spacing w:after="120"/>
      </w:pPr>
    </w:p>
    <w:tbl>
      <w:tblPr>
        <w:tblW w:type="dxa" w:w="9360"/>
        <w:tblBorders>
          <w:top w:val="single" w:color="CBD5E1" w:sz="4"/>
          <w:left w:val="single" w:color="CBD5E1" w:sz="4"/>
          <w:bottom w:val="single" w:color="CBD5E1" w:sz="4"/>
          <w:right w:val="single" w:color="CBD5E1" w:sz="4"/>
          <w:insideH w:val="single" w:color="CBD5E1" w:sz="4"/>
          <w:insideV w:val="single" w:color="CBD5E1" w:sz="4"/>
        </w:tblBorders>
        <w:tblLayout w:type="fixed"/>
      </w:tblPr>
      <w:tblGrid>
        <w:gridCol w:w="2489"/>
        <w:gridCol w:w="2180"/>
        <w:gridCol w:w="2368"/>
        <w:gridCol w:w="2323"/>
      </w:tblGrid>
      <w:tr>
        <w:trPr>
          <w:cantSplit/>
          <w:tblHeader/>
        </w:trPr>
        <w:tc>
          <w:tcPr>
            <w:tcW w:type="dxa" w:w="2489"/>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Assumption</w:t>
            </w:r>
          </w:p>
        </w:tc>
        <w:tc>
          <w:tcPr>
            <w:tcW w:type="dxa" w:w="2180"/>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Value</w:t>
            </w:r>
          </w:p>
        </w:tc>
        <w:tc>
          <w:tcPr>
            <w:tcW w:type="dxa" w:w="2368"/>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Source</w:t>
            </w:r>
          </w:p>
        </w:tc>
        <w:tc>
          <w:tcPr>
            <w:tcW w:type="dxa" w:w="2323"/>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Agreed by</w:t>
            </w:r>
          </w:p>
        </w:tc>
      </w:tr>
      <w:tr>
        <w:trPr>
          <w:cantSplit/>
          <w:tblHeader w:val="false"/>
        </w:trPr>
        <w:tc>
          <w:tcPr>
            <w:tcW w:type="dxa" w:w="2489"/>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[Volume, rate or cost]</w:t>
            </w:r>
          </w:p>
        </w:tc>
        <w:tc>
          <w:tcPr>
            <w:tcW w:type="dxa" w:w="2180"/>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[Value]</w:t>
            </w:r>
          </w:p>
        </w:tc>
        <w:tc>
          <w:tcPr>
            <w:tcW w:type="dxa" w:w="2368"/>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[System or person]</w:t>
            </w:r>
          </w:p>
        </w:tc>
        <w:tc>
          <w:tcPr>
            <w:tcW w:type="dxa" w:w="2323"/>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[Name, date]</w:t>
            </w:r>
          </w:p>
        </w:tc>
      </w:tr>
      <w:tr>
        <w:trPr>
          <w:cantSplit/>
          <w:tblHeader w:val="false"/>
          <w:trHeight w:val="400" w:hRule="atLeast"/>
        </w:trPr>
        <w:tc>
          <w:tcPr>
            <w:tcW w:type="dxa" w:w="2489"/>
            <w:tcMar>
              <w:top w:type="dxa" w:w="60"/>
              <w:left w:type="dxa" w:w="100"/>
              <w:bottom w:type="dxa" w:w="60"/>
              <w:right w:type="dxa" w:w="100"/>
            </w:tcMar>
            <w:vAlign w:val="top"/>
          </w:tcPr>
          <w:p>
            <w:pPr>
              <w:spacing w:after="0" w:before="0" w:line="252"/>
            </w:pPr>
          </w:p>
        </w:tc>
        <w:tc>
          <w:tcPr>
            <w:tcW w:type="dxa" w:w="2180"/>
            <w:tcMar>
              <w:top w:type="dxa" w:w="60"/>
              <w:left w:type="dxa" w:w="100"/>
              <w:bottom w:type="dxa" w:w="60"/>
              <w:right w:type="dxa" w:w="100"/>
            </w:tcMar>
            <w:vAlign w:val="top"/>
          </w:tcPr>
          <w:p>
            <w:pPr>
              <w:spacing w:after="0" w:before="0" w:line="252"/>
            </w:pPr>
          </w:p>
        </w:tc>
        <w:tc>
          <w:tcPr>
            <w:tcW w:type="dxa" w:w="2368"/>
            <w:tcMar>
              <w:top w:type="dxa" w:w="60"/>
              <w:left w:type="dxa" w:w="100"/>
              <w:bottom w:type="dxa" w:w="60"/>
              <w:right w:type="dxa" w:w="100"/>
            </w:tcMar>
            <w:vAlign w:val="top"/>
          </w:tcPr>
          <w:p>
            <w:pPr>
              <w:spacing w:after="0" w:before="0" w:line="252"/>
            </w:pPr>
          </w:p>
        </w:tc>
        <w:tc>
          <w:tcPr>
            <w:tcW w:type="dxa" w:w="2323"/>
            <w:tcMar>
              <w:top w:type="dxa" w:w="60"/>
              <w:left w:type="dxa" w:w="100"/>
              <w:bottom w:type="dxa" w:w="60"/>
              <w:right w:type="dxa" w:w="100"/>
            </w:tcMar>
            <w:vAlign w:val="top"/>
          </w:tcPr>
          <w:p>
            <w:pPr>
              <w:spacing w:after="0" w:before="0" w:line="252"/>
            </w:pPr>
          </w:p>
        </w:tc>
      </w:tr>
      <w:tr>
        <w:trPr>
          <w:cantSplit/>
          <w:tblHeader w:val="false"/>
          <w:trHeight w:val="400" w:hRule="atLeast"/>
        </w:trPr>
        <w:tc>
          <w:tcPr>
            <w:tcW w:type="dxa" w:w="2489"/>
            <w:tcMar>
              <w:top w:type="dxa" w:w="60"/>
              <w:left w:type="dxa" w:w="100"/>
              <w:bottom w:type="dxa" w:w="60"/>
              <w:right w:type="dxa" w:w="100"/>
            </w:tcMar>
            <w:vAlign w:val="top"/>
          </w:tcPr>
          <w:p>
            <w:pPr>
              <w:spacing w:after="0" w:before="0" w:line="252"/>
            </w:pPr>
          </w:p>
        </w:tc>
        <w:tc>
          <w:tcPr>
            <w:tcW w:type="dxa" w:w="2180"/>
            <w:tcMar>
              <w:top w:type="dxa" w:w="60"/>
              <w:left w:type="dxa" w:w="100"/>
              <w:bottom w:type="dxa" w:w="60"/>
              <w:right w:type="dxa" w:w="100"/>
            </w:tcMar>
            <w:vAlign w:val="top"/>
          </w:tcPr>
          <w:p>
            <w:pPr>
              <w:spacing w:after="0" w:before="0" w:line="252"/>
            </w:pPr>
          </w:p>
        </w:tc>
        <w:tc>
          <w:tcPr>
            <w:tcW w:type="dxa" w:w="2368"/>
            <w:tcMar>
              <w:top w:type="dxa" w:w="60"/>
              <w:left w:type="dxa" w:w="100"/>
              <w:bottom w:type="dxa" w:w="60"/>
              <w:right w:type="dxa" w:w="100"/>
            </w:tcMar>
            <w:vAlign w:val="top"/>
          </w:tcPr>
          <w:p>
            <w:pPr>
              <w:spacing w:after="0" w:before="0" w:line="252"/>
            </w:pPr>
          </w:p>
        </w:tc>
        <w:tc>
          <w:tcPr>
            <w:tcW w:type="dxa" w:w="2323"/>
            <w:tcMar>
              <w:top w:type="dxa" w:w="60"/>
              <w:left w:type="dxa" w:w="100"/>
              <w:bottom w:type="dxa" w:w="60"/>
              <w:right w:type="dxa" w:w="100"/>
            </w:tcMar>
            <w:vAlign w:val="top"/>
          </w:tcPr>
          <w:p>
            <w:pPr>
              <w:spacing w:after="0" w:before="0" w:line="252"/>
            </w:pPr>
          </w:p>
        </w:tc>
      </w:tr>
      <w:tr>
        <w:trPr>
          <w:cantSplit/>
          <w:tblHeader w:val="false"/>
          <w:trHeight w:val="400" w:hRule="atLeast"/>
        </w:trPr>
        <w:tc>
          <w:tcPr>
            <w:tcW w:type="dxa" w:w="2489"/>
            <w:tcMar>
              <w:top w:type="dxa" w:w="60"/>
              <w:left w:type="dxa" w:w="100"/>
              <w:bottom w:type="dxa" w:w="60"/>
              <w:right w:type="dxa" w:w="100"/>
            </w:tcMar>
            <w:vAlign w:val="top"/>
          </w:tcPr>
          <w:p>
            <w:pPr>
              <w:spacing w:after="0" w:before="0" w:line="252"/>
            </w:pPr>
          </w:p>
        </w:tc>
        <w:tc>
          <w:tcPr>
            <w:tcW w:type="dxa" w:w="2180"/>
            <w:tcMar>
              <w:top w:type="dxa" w:w="60"/>
              <w:left w:type="dxa" w:w="100"/>
              <w:bottom w:type="dxa" w:w="60"/>
              <w:right w:type="dxa" w:w="100"/>
            </w:tcMar>
            <w:vAlign w:val="top"/>
          </w:tcPr>
          <w:p>
            <w:pPr>
              <w:spacing w:after="0" w:before="0" w:line="252"/>
            </w:pPr>
          </w:p>
        </w:tc>
        <w:tc>
          <w:tcPr>
            <w:tcW w:type="dxa" w:w="2368"/>
            <w:tcMar>
              <w:top w:type="dxa" w:w="60"/>
              <w:left w:type="dxa" w:w="100"/>
              <w:bottom w:type="dxa" w:w="60"/>
              <w:right w:type="dxa" w:w="100"/>
            </w:tcMar>
            <w:vAlign w:val="top"/>
          </w:tcPr>
          <w:p>
            <w:pPr>
              <w:spacing w:after="0" w:before="0" w:line="252"/>
            </w:pPr>
          </w:p>
        </w:tc>
        <w:tc>
          <w:tcPr>
            <w:tcW w:type="dxa" w:w="2323"/>
            <w:tcMar>
              <w:top w:type="dxa" w:w="60"/>
              <w:left w:type="dxa" w:w="100"/>
              <w:bottom w:type="dxa" w:w="60"/>
              <w:right w:type="dxa" w:w="100"/>
            </w:tcMar>
            <w:vAlign w:val="top"/>
          </w:tcPr>
          <w:p>
            <w:pPr>
              <w:spacing w:after="0" w:before="0" w:line="252"/>
            </w:pPr>
          </w:p>
        </w:tc>
      </w:tr>
    </w:tbl>
    <w:p>
      <w:pPr>
        <w:spacing w:after="120"/>
      </w:pPr>
    </w:p>
    <w:tbl>
      <w:tblPr>
        <w:tblW w:type="dxa" w:w="9360"/>
        <w:tblBorders>
          <w:top w:val="single" w:color="CBD5E1" w:sz="4"/>
          <w:left w:val="single" w:color="CBD5E1" w:sz="4"/>
          <w:bottom w:val="single" w:color="CBD5E1" w:sz="4"/>
          <w:right w:val="single" w:color="CBD5E1" w:sz="4"/>
          <w:insideH w:val="single" w:color="CBD5E1" w:sz="4"/>
          <w:insideV w:val="single" w:color="CBD5E1" w:sz="4"/>
        </w:tblBorders>
        <w:tblLayout w:type="fixed"/>
      </w:tblPr>
      <w:tblGrid>
        <w:gridCol w:w="2302"/>
        <w:gridCol w:w="7058"/>
      </w:tblGrid>
      <w:tr>
        <w:trPr>
          <w:cantSplit/>
          <w:tblHeader w:val="false"/>
        </w:trPr>
        <w:tc>
          <w:tcPr>
            <w:tcW w:type="dxa" w:w="2302"/>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Run rate at full scale</w:t>
            </w:r>
          </w:p>
        </w:tc>
        <w:tc>
          <w:tcPr>
            <w:tcW w:type="dxa" w:w="7058"/>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[About $X a year released or protected, before platform, model and change costs]</w:t>
            </w:r>
          </w:p>
        </w:tc>
      </w:tr>
      <w:tr>
        <w:trPr>
          <w:cantSplit/>
          <w:tblHeader w:val="false"/>
        </w:trPr>
        <w:tc>
          <w:tcPr>
            <w:tcW w:type="dxa" w:w="2302"/>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Costs</w:t>
            </w:r>
          </w:p>
        </w:tc>
        <w:tc>
          <w:tcPr>
            <w:tcW w:type="dxa" w:w="7058"/>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[From the project team’s estimate: platform, implementation, model usage, change]</w:t>
            </w:r>
          </w:p>
        </w:tc>
      </w:tr>
      <w:tr>
        <w:trPr>
          <w:cantSplit/>
          <w:tblHeader w:val="false"/>
        </w:trPr>
        <w:tc>
          <w:tcPr>
            <w:tcW w:type="dxa" w:w="2302"/>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Expected business outcomes</w:t>
            </w:r>
          </w:p>
        </w:tc>
        <w:tc>
          <w:tcPr>
            <w:tcW w:type="dxa" w:w="7058"/>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[Three to five outcomes in the sponsor’s words]</w:t>
            </w:r>
          </w:p>
        </w:tc>
      </w:tr>
      <w:tr>
        <w:trPr>
          <w:cantSplit/>
          <w:tblHeader w:val="false"/>
        </w:trPr>
        <w:tc>
          <w:tcPr>
            <w:tcW w:type="dxa" w:w="2302"/>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Payback benchmark</w:t>
            </w:r>
          </w:p>
        </w:tc>
        <w:tc>
          <w:tcPr>
            <w:tcW w:type="dxa" w:w="705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Typical AI payback is two to four years, against seven to 12 months for other technology investments</w:t>
            </w:r>
            <w:hyperlink w:history="1" w:anchor="en_82">
              <w:r>
                <w:rPr>
                  <w:rFonts w:ascii="Calibri" w:cs="Calibri" w:eastAsia="Calibri" w:hAnsi="Calibri"/>
                  <w:color w:val="0369A1"/>
                  <w:sz w:val="18"/>
                  <w:szCs w:val="18"/>
                  <w:vertAlign w:val="superscript"/>
                </w:rPr>
                <w:t xml:space="preserve">82</w:t>
              </w:r>
            </w:hyperlink>
          </w:p>
        </w:tc>
      </w:tr>
      <w:tr>
        <w:trPr>
          <w:cantSplit/>
          <w:tblHeader w:val="false"/>
        </w:trPr>
        <w:tc>
          <w:tcPr>
            <w:tcW w:type="dxa" w:w="2302"/>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Horizons</w:t>
            </w:r>
          </w:p>
        </w:tc>
        <w:tc>
          <w:tcPr>
            <w:tcW w:type="dxa" w:w="7058"/>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[Which slices are judged in months (read-only, drafting) and which on a longer horizon (agents acting in systems of record)]</w:t>
            </w:r>
          </w:p>
        </w:tc>
      </w:tr>
    </w:tbl>
    <w:p>
      <w:pPr>
        <w:spacing w:after="120"/>
      </w:pPr>
    </w:p>
    <w:p>
      <w:pPr>
        <w:pStyle w:val="Heading2"/>
        <w:keepNext/>
        <w:pageBreakBefore/>
      </w:pPr>
      <w:bookmarkStart w:name="p1_T3" w:id="5"/>
      <w:r>
        <w:rPr>
          <w:rFonts w:ascii="Calibri" w:cs="Calibri" w:eastAsia="Calibri" w:hAnsi="Calibri"/>
        </w:rPr>
        <w:t xml:space="preserve">T3. Asset inventory</w:t>
      </w:r>
      <w:bookmarkEnd w:id="5"/>
    </w:p>
    <w:tbl>
      <w:tblPr>
        <w:tblW w:type="dxa" w:w="9360"/>
        <w:tblBorders>
          <w:top w:val="single" w:color="B6D4EA" w:sz="4"/>
          <w:left w:val="single" w:color="B6D4EA" w:sz="4"/>
          <w:bottom w:val="single" w:color="B6D4EA" w:sz="4"/>
          <w:right w:val="single" w:color="B6D4EA" w:sz="4"/>
          <w:insideH w:val="single" w:color="B6D4EA" w:sz="4"/>
          <w:insideV w:val="single" w:color="B6D4EA" w:sz="4"/>
        </w:tblBorders>
        <w:tblLayout w:type="fixed"/>
      </w:tblPr>
      <w:tblGrid>
        <w:gridCol w:w="9360"/>
      </w:tblGrid>
      <w:tr>
        <w:trPr>
          <w:cantSplit/>
        </w:trPr>
        <w:tc>
          <w:tcPr>
            <w:tcW w:type="dxa" w:w="9360"/>
            <w:shd w:fill="EEF6FC" w:color="auto" w:val="clear"/>
            <w:tcMar>
              <w:top w:type="dxa" w:w="140"/>
              <w:left w:type="dxa" w:w="200"/>
              <w:bottom w:type="dxa" w:w="140"/>
              <w:right w:type="dxa" w:w="200"/>
            </w:tcMar>
          </w:tcPr>
          <w:p>
            <w:pPr>
              <w:spacing w:after="100"/>
            </w:pPr>
            <w:r>
              <w:rPr>
                <w:rFonts w:ascii="Calibri" w:cs="Calibri" w:eastAsia="Calibri" w:hAnsi="Calibri"/>
                <w:b/>
                <w:bCs/>
                <w:color w:val="0369A1"/>
                <w:sz w:val="22"/>
                <w:szCs w:val="22"/>
              </w:rPr>
              <w:t xml:space="preserve">How to use T3</w:t>
            </w:r>
          </w:p>
          <w:p>
            <w:pPr>
              <w:spacing w:after="80"/>
            </w:pPr>
            <w:r>
              <w:rPr>
                <w:rFonts w:ascii="Calibri" w:cs="Calibri" w:eastAsia="Calibri" w:hAnsi="Calibri"/>
                <w:b/>
                <w:bCs/>
                <w:sz w:val="20"/>
                <w:szCs w:val="20"/>
              </w:rPr>
              <w:t xml:space="preserve">Purpose.</w:t>
            </w:r>
            <w:r>
              <w:rPr>
                <w:rFonts w:ascii="Calibri" w:cs="Calibri" w:eastAsia="Calibri" w:hAnsi="Calibri"/>
                <w:sz w:val="20"/>
                <w:szCs w:val="20"/>
              </w:rPr>
              <w:t xml:space="preserve">  Record every asset the use case touches, who owns it, how it is controlled today and when the plan needs it.</w:t>
            </w:r>
          </w:p>
          <w:p>
            <w:pPr>
              <w:spacing w:after="80"/>
            </w:pPr>
            <w:r>
              <w:rPr>
                <w:rFonts w:ascii="Calibri" w:cs="Calibri" w:eastAsia="Calibri" w:hAnsi="Calibri"/>
                <w:b/>
                <w:bCs/>
                <w:sz w:val="20"/>
                <w:szCs w:val="20"/>
              </w:rPr>
              <w:t xml:space="preserve">When.</w:t>
            </w:r>
            <w:r>
              <w:rPr>
                <w:rFonts w:ascii="Calibri" w:cs="Calibri" w:eastAsia="Calibri" w:hAnsi="Calibri"/>
                <w:sz w:val="20"/>
                <w:szCs w:val="20"/>
              </w:rPr>
              <w:t xml:space="preserve">  Step 2 (discover), updated through design.</w:t>
            </w:r>
          </w:p>
          <w:p>
            <w:pPr>
              <w:spacing w:after="80"/>
            </w:pPr>
            <w:r>
              <w:rPr>
                <w:rFonts w:ascii="Calibri" w:cs="Calibri" w:eastAsia="Calibri" w:hAnsi="Calibri"/>
                <w:b/>
                <w:bCs/>
                <w:sz w:val="20"/>
                <w:szCs w:val="20"/>
              </w:rPr>
              <w:t xml:space="preserve">Who.</w:t>
            </w:r>
            <w:r>
              <w:rPr>
                <w:rFonts w:ascii="Calibri" w:cs="Calibri" w:eastAsia="Calibri" w:hAnsi="Calibri"/>
                <w:sz w:val="20"/>
                <w:szCs w:val="20"/>
              </w:rPr>
              <w:t xml:space="preserve">  The lead architect, confirmed row by row with each owner.</w:t>
            </w:r>
          </w:p>
          <w:p>
            <w:pPr>
              <w:spacing w:after="60" w:before="120"/>
            </w:pPr>
            <w:r>
              <w:rPr>
                <w:rFonts w:ascii="Calibri" w:cs="Calibri" w:eastAsia="Calibri" w:hAnsi="Calibri"/>
                <w:b/>
                <w:bCs/>
                <w:color w:val="1E293B"/>
                <w:sz w:val="20"/>
                <w:szCs w:val="20"/>
              </w:rPr>
              <w:t xml:space="preserve">How to fill it</w:t>
            </w:r>
          </w:p>
          <w:p>
            <w:pPr>
              <w:pStyle w:val="ListParagraph"/>
              <w:numPr>
                <w:ilvl w:val="0"/>
                <w:numId w:val="6"/>
              </w:numPr>
              <w:spacing w:after="60"/>
            </w:pPr>
            <w:r>
              <w:rPr>
                <w:rFonts w:ascii="Calibri" w:cs="Calibri" w:eastAsia="Calibri" w:hAnsi="Calibri"/>
                <w:sz w:val="20"/>
                <w:szCs w:val="20"/>
              </w:rPr>
              <w:t xml:space="preserve">Start from the data request and the process walkthrough, and add one row per asset.</w:t>
            </w:r>
          </w:p>
          <w:p>
            <w:pPr>
              <w:pStyle w:val="ListParagraph"/>
              <w:numPr>
                <w:ilvl w:val="0"/>
                <w:numId w:val="6"/>
              </w:numPr>
              <w:spacing w:after="60"/>
            </w:pPr>
            <w:r>
              <w:rPr>
                <w:rFonts w:ascii="Calibri" w:cs="Calibri" w:eastAsia="Calibri" w:hAnsi="Calibri"/>
                <w:sz w:val="20"/>
                <w:szCs w:val="20"/>
              </w:rPr>
              <w:t xml:space="preserve">Fill T3a to T3h in turn: systems, data, tools, agents, models, identities, policies, infrastructure.</w:t>
            </w:r>
          </w:p>
          <w:p>
            <w:pPr>
              <w:pStyle w:val="ListParagraph"/>
              <w:numPr>
                <w:ilvl w:val="0"/>
                <w:numId w:val="6"/>
              </w:numPr>
              <w:spacing w:after="60"/>
            </w:pPr>
            <w:r>
              <w:rPr>
                <w:rFonts w:ascii="Calibri" w:cs="Calibri" w:eastAsia="Calibri" w:hAnsi="Calibri"/>
                <w:sz w:val="20"/>
                <w:szCs w:val="20"/>
              </w:rPr>
              <w:t xml:space="preserve">For every agent, record an owner, a sponsor, a tier and a status (live, pilot, planned or shadow), its lifecycle stage and next recertification, and any native control plane that already governs it.</w:t>
            </w:r>
          </w:p>
          <w:p>
            <w:pPr>
              <w:pStyle w:val="ListParagraph"/>
              <w:numPr>
                <w:ilvl w:val="0"/>
                <w:numId w:val="6"/>
              </w:numPr>
              <w:spacing w:after="60"/>
            </w:pPr>
            <w:r>
              <w:rPr>
                <w:rFonts w:ascii="Calibri" w:cs="Calibri" w:eastAsia="Calibri" w:hAnsi="Calibri"/>
                <w:sz w:val="20"/>
                <w:szCs w:val="20"/>
              </w:rPr>
              <w:t xml:space="preserve">For every tool and system, record read or write access and whether it exists today or must be built.</w:t>
            </w:r>
          </w:p>
          <w:p>
            <w:pPr>
              <w:pStyle w:val="ListParagraph"/>
              <w:numPr>
                <w:ilvl w:val="0"/>
                <w:numId w:val="6"/>
              </w:numPr>
              <w:spacing w:after="60"/>
            </w:pPr>
            <w:r>
              <w:rPr>
                <w:rFonts w:ascii="Calibri" w:cs="Calibri" w:eastAsia="Calibri" w:hAnsi="Calibri"/>
                <w:sz w:val="20"/>
                <w:szCs w:val="20"/>
              </w:rPr>
              <w:t xml:space="preserve">Add the phase in which each asset is needed.</w:t>
            </w:r>
          </w:p>
          <w:p>
            <w:pPr>
              <w:pStyle w:val="ListParagraph"/>
              <w:numPr>
                <w:ilvl w:val="0"/>
                <w:numId w:val="6"/>
              </w:numPr>
              <w:spacing w:after="60"/>
            </w:pPr>
            <w:r>
              <w:rPr>
                <w:rFonts w:ascii="Calibri" w:cs="Calibri" w:eastAsia="Calibri" w:hAnsi="Calibri"/>
                <w:sz w:val="20"/>
                <w:szCs w:val="20"/>
              </w:rPr>
              <w:t xml:space="preserve">Turn every unknown into an open question in T12.</w:t>
            </w:r>
          </w:p>
          <w:p>
            <w:pPr>
              <w:spacing w:after="60" w:before="120"/>
            </w:pPr>
            <w:r>
              <w:rPr>
                <w:rFonts w:ascii="Calibri" w:cs="Calibri" w:eastAsia="Calibri" w:hAnsi="Calibri"/>
                <w:b/>
                <w:bCs/>
                <w:color w:val="1E293B"/>
                <w:sz w:val="20"/>
                <w:szCs w:val="20"/>
              </w:rPr>
              <w:t xml:space="preserve">Tips</w:t>
            </w:r>
          </w:p>
          <w:p>
            <w:pPr>
              <w:pStyle w:val="ListParagraph"/>
              <w:numPr>
                <w:ilvl w:val="0"/>
                <w:numId w:val="7"/>
              </w:numPr>
              <w:spacing w:after="60"/>
            </w:pPr>
            <w:r>
              <w:rPr>
                <w:rFonts w:ascii="Calibri" w:cs="Calibri" w:eastAsia="Calibri" w:hAnsi="Calibri"/>
                <w:sz w:val="20"/>
                <w:szCs w:val="20"/>
              </w:rPr>
              <w:t xml:space="preserve">Run Agent Scanners where the client allows. It finds agents and MCP servers people forget.</w:t>
            </w:r>
          </w:p>
          <w:p>
            <w:pPr>
              <w:pStyle w:val="ListParagraph"/>
              <w:numPr>
                <w:ilvl w:val="0"/>
                <w:numId w:val="7"/>
              </w:numPr>
              <w:spacing w:after="60"/>
            </w:pPr>
            <w:r>
              <w:rPr>
                <w:rFonts w:ascii="Calibri" w:cs="Calibri" w:eastAsia="Calibri" w:hAnsi="Calibri"/>
                <w:sz w:val="20"/>
                <w:szCs w:val="20"/>
              </w:rPr>
              <w:t xml:space="preserve">“Not enforced today” is a valuable entry, because that is where the control plane adds value first.</w:t>
            </w:r>
          </w:p>
          <w:p>
            <w:pPr>
              <w:spacing w:after="80"/>
            </w:pPr>
            <w:r>
              <w:rPr>
                <w:rFonts w:ascii="Calibri" w:cs="Calibri" w:eastAsia="Calibri" w:hAnsi="Calibri"/>
                <w:b/>
                <w:bCs/>
                <w:sz w:val="20"/>
                <w:szCs w:val="20"/>
              </w:rPr>
              <w:t xml:space="preserve">Feeds.</w:t>
            </w:r>
            <w:r>
              <w:rPr>
                <w:rFonts w:ascii="Calibri" w:cs="Calibri" w:eastAsia="Calibri" w:hAnsi="Calibri"/>
                <w:sz w:val="20"/>
                <w:szCs w:val="20"/>
              </w:rPr>
              <w:t xml:space="preserve">  Client deck: Discovery; Asset inventory. Client report: section 3 and the appendix.</w:t>
            </w:r>
          </w:p>
        </w:tc>
      </w:tr>
    </w:tbl>
    <w:p>
      <w:pPr>
        <w:spacing w:after="120"/>
      </w:pPr>
    </w:p>
    <w:p>
      <w:pPr>
        <w:pStyle w:val="Heading3"/>
        <w:keepNext/>
      </w:pPr>
      <w:r>
        <w:rPr>
          <w:rFonts w:ascii="Calibri" w:cs="Calibri" w:eastAsia="Calibri" w:hAnsi="Calibri"/>
        </w:rPr>
        <w:t xml:space="preserve">T3a. Applications and systems of record</w:t>
      </w:r>
    </w:p>
    <w:tbl>
      <w:tblPr>
        <w:tblW w:type="dxa" w:w="9360"/>
        <w:tblBorders>
          <w:top w:val="single" w:color="CBD5E1" w:sz="4"/>
          <w:left w:val="single" w:color="CBD5E1" w:sz="4"/>
          <w:bottom w:val="single" w:color="CBD5E1" w:sz="4"/>
          <w:right w:val="single" w:color="CBD5E1" w:sz="4"/>
          <w:insideH w:val="single" w:color="CBD5E1" w:sz="4"/>
          <w:insideV w:val="single" w:color="CBD5E1" w:sz="4"/>
        </w:tblBorders>
        <w:tblLayout w:type="fixed"/>
      </w:tblPr>
      <w:tblGrid>
        <w:gridCol w:w="1467"/>
        <w:gridCol w:w="1436"/>
        <w:gridCol w:w="1817"/>
        <w:gridCol w:w="1611"/>
        <w:gridCol w:w="1601"/>
        <w:gridCol w:w="1428"/>
      </w:tblGrid>
      <w:tr>
        <w:trPr>
          <w:cantSplit/>
          <w:tblHeader/>
        </w:trPr>
        <w:tc>
          <w:tcPr>
            <w:tcW w:type="dxa" w:w="1467"/>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System</w:t>
            </w:r>
          </w:p>
        </w:tc>
        <w:tc>
          <w:tcPr>
            <w:tcW w:type="dxa" w:w="1436"/>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Owner</w:t>
            </w:r>
          </w:p>
        </w:tc>
        <w:tc>
          <w:tcPr>
            <w:tcW w:type="dxa" w:w="1817"/>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Role in the use case</w:t>
            </w:r>
          </w:p>
        </w:tc>
        <w:tc>
          <w:tcPr>
            <w:tcW w:type="dxa" w:w="1611"/>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Interfaces</w:t>
            </w:r>
          </w:p>
        </w:tc>
        <w:tc>
          <w:tcPr>
            <w:tcW w:type="dxa" w:w="1601"/>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Agent access</w:t>
            </w:r>
          </w:p>
        </w:tc>
        <w:tc>
          <w:tcPr>
            <w:tcW w:type="dxa" w:w="1428"/>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Phase</w:t>
            </w:r>
          </w:p>
        </w:tc>
      </w:tr>
      <w:tr>
        <w:trPr>
          <w:cantSplit/>
          <w:tblHeader w:val="false"/>
        </w:trPr>
        <w:tc>
          <w:tcPr>
            <w:tcW w:type="dxa" w:w="1467"/>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[System]</w:t>
            </w:r>
          </w:p>
        </w:tc>
        <w:tc>
          <w:tcPr>
            <w:tcW w:type="dxa" w:w="1436"/>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[Team]</w:t>
            </w:r>
          </w:p>
        </w:tc>
        <w:tc>
          <w:tcPr>
            <w:tcW w:type="dxa" w:w="1817"/>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[What it does in the process]</w:t>
            </w:r>
          </w:p>
        </w:tc>
        <w:tc>
          <w:tcPr>
            <w:tcW w:type="dxa" w:w="1611"/>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[API, event, file]</w:t>
            </w:r>
          </w:p>
        </w:tc>
        <w:tc>
          <w:tcPr>
            <w:tcW w:type="dxa" w:w="1601"/>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[Read or write]</w:t>
            </w:r>
          </w:p>
        </w:tc>
        <w:tc>
          <w:tcPr>
            <w:tcW w:type="dxa" w:w="1428"/>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[1–4]</w:t>
            </w:r>
          </w:p>
        </w:tc>
      </w:tr>
      <w:tr>
        <w:trPr>
          <w:cantSplit/>
          <w:tblHeader w:val="false"/>
          <w:trHeight w:val="400" w:hRule="atLeast"/>
        </w:trPr>
        <w:tc>
          <w:tcPr>
            <w:tcW w:type="dxa" w:w="1467"/>
            <w:tcMar>
              <w:top w:type="dxa" w:w="60"/>
              <w:left w:type="dxa" w:w="100"/>
              <w:bottom w:type="dxa" w:w="60"/>
              <w:right w:type="dxa" w:w="100"/>
            </w:tcMar>
            <w:vAlign w:val="top"/>
          </w:tcPr>
          <w:p>
            <w:pPr>
              <w:spacing w:after="0" w:before="0" w:line="252"/>
            </w:pPr>
          </w:p>
        </w:tc>
        <w:tc>
          <w:tcPr>
            <w:tcW w:type="dxa" w:w="1436"/>
            <w:tcMar>
              <w:top w:type="dxa" w:w="60"/>
              <w:left w:type="dxa" w:w="100"/>
              <w:bottom w:type="dxa" w:w="60"/>
              <w:right w:type="dxa" w:w="100"/>
            </w:tcMar>
            <w:vAlign w:val="top"/>
          </w:tcPr>
          <w:p>
            <w:pPr>
              <w:spacing w:after="0" w:before="0" w:line="252"/>
            </w:pPr>
          </w:p>
        </w:tc>
        <w:tc>
          <w:tcPr>
            <w:tcW w:type="dxa" w:w="1817"/>
            <w:tcMar>
              <w:top w:type="dxa" w:w="60"/>
              <w:left w:type="dxa" w:w="100"/>
              <w:bottom w:type="dxa" w:w="60"/>
              <w:right w:type="dxa" w:w="100"/>
            </w:tcMar>
            <w:vAlign w:val="top"/>
          </w:tcPr>
          <w:p>
            <w:pPr>
              <w:spacing w:after="0" w:before="0" w:line="252"/>
            </w:pPr>
          </w:p>
        </w:tc>
        <w:tc>
          <w:tcPr>
            <w:tcW w:type="dxa" w:w="1611"/>
            <w:tcMar>
              <w:top w:type="dxa" w:w="60"/>
              <w:left w:type="dxa" w:w="100"/>
              <w:bottom w:type="dxa" w:w="60"/>
              <w:right w:type="dxa" w:w="100"/>
            </w:tcMar>
            <w:vAlign w:val="top"/>
          </w:tcPr>
          <w:p>
            <w:pPr>
              <w:spacing w:after="0" w:before="0" w:line="252"/>
            </w:pPr>
          </w:p>
        </w:tc>
        <w:tc>
          <w:tcPr>
            <w:tcW w:type="dxa" w:w="1601"/>
            <w:tcMar>
              <w:top w:type="dxa" w:w="60"/>
              <w:left w:type="dxa" w:w="100"/>
              <w:bottom w:type="dxa" w:w="60"/>
              <w:right w:type="dxa" w:w="100"/>
            </w:tcMar>
            <w:vAlign w:val="top"/>
          </w:tcPr>
          <w:p>
            <w:pPr>
              <w:spacing w:after="0" w:before="0" w:line="252"/>
            </w:pPr>
          </w:p>
        </w:tc>
        <w:tc>
          <w:tcPr>
            <w:tcW w:type="dxa" w:w="1428"/>
            <w:tcMar>
              <w:top w:type="dxa" w:w="60"/>
              <w:left w:type="dxa" w:w="100"/>
              <w:bottom w:type="dxa" w:w="60"/>
              <w:right w:type="dxa" w:w="100"/>
            </w:tcMar>
            <w:vAlign w:val="top"/>
          </w:tcPr>
          <w:p>
            <w:pPr>
              <w:spacing w:after="0" w:before="0" w:line="252"/>
            </w:pPr>
          </w:p>
        </w:tc>
      </w:tr>
      <w:tr>
        <w:trPr>
          <w:cantSplit/>
          <w:tblHeader w:val="false"/>
          <w:trHeight w:val="400" w:hRule="atLeast"/>
        </w:trPr>
        <w:tc>
          <w:tcPr>
            <w:tcW w:type="dxa" w:w="1467"/>
            <w:tcMar>
              <w:top w:type="dxa" w:w="60"/>
              <w:left w:type="dxa" w:w="100"/>
              <w:bottom w:type="dxa" w:w="60"/>
              <w:right w:type="dxa" w:w="100"/>
            </w:tcMar>
            <w:vAlign w:val="top"/>
          </w:tcPr>
          <w:p>
            <w:pPr>
              <w:spacing w:after="0" w:before="0" w:line="252"/>
            </w:pPr>
          </w:p>
        </w:tc>
        <w:tc>
          <w:tcPr>
            <w:tcW w:type="dxa" w:w="1436"/>
            <w:tcMar>
              <w:top w:type="dxa" w:w="60"/>
              <w:left w:type="dxa" w:w="100"/>
              <w:bottom w:type="dxa" w:w="60"/>
              <w:right w:type="dxa" w:w="100"/>
            </w:tcMar>
            <w:vAlign w:val="top"/>
          </w:tcPr>
          <w:p>
            <w:pPr>
              <w:spacing w:after="0" w:before="0" w:line="252"/>
            </w:pPr>
          </w:p>
        </w:tc>
        <w:tc>
          <w:tcPr>
            <w:tcW w:type="dxa" w:w="1817"/>
            <w:tcMar>
              <w:top w:type="dxa" w:w="60"/>
              <w:left w:type="dxa" w:w="100"/>
              <w:bottom w:type="dxa" w:w="60"/>
              <w:right w:type="dxa" w:w="100"/>
            </w:tcMar>
            <w:vAlign w:val="top"/>
          </w:tcPr>
          <w:p>
            <w:pPr>
              <w:spacing w:after="0" w:before="0" w:line="252"/>
            </w:pPr>
          </w:p>
        </w:tc>
        <w:tc>
          <w:tcPr>
            <w:tcW w:type="dxa" w:w="1611"/>
            <w:tcMar>
              <w:top w:type="dxa" w:w="60"/>
              <w:left w:type="dxa" w:w="100"/>
              <w:bottom w:type="dxa" w:w="60"/>
              <w:right w:type="dxa" w:w="100"/>
            </w:tcMar>
            <w:vAlign w:val="top"/>
          </w:tcPr>
          <w:p>
            <w:pPr>
              <w:spacing w:after="0" w:before="0" w:line="252"/>
            </w:pPr>
          </w:p>
        </w:tc>
        <w:tc>
          <w:tcPr>
            <w:tcW w:type="dxa" w:w="1601"/>
            <w:tcMar>
              <w:top w:type="dxa" w:w="60"/>
              <w:left w:type="dxa" w:w="100"/>
              <w:bottom w:type="dxa" w:w="60"/>
              <w:right w:type="dxa" w:w="100"/>
            </w:tcMar>
            <w:vAlign w:val="top"/>
          </w:tcPr>
          <w:p>
            <w:pPr>
              <w:spacing w:after="0" w:before="0" w:line="252"/>
            </w:pPr>
          </w:p>
        </w:tc>
        <w:tc>
          <w:tcPr>
            <w:tcW w:type="dxa" w:w="1428"/>
            <w:tcMar>
              <w:top w:type="dxa" w:w="60"/>
              <w:left w:type="dxa" w:w="100"/>
              <w:bottom w:type="dxa" w:w="60"/>
              <w:right w:type="dxa" w:w="100"/>
            </w:tcMar>
            <w:vAlign w:val="top"/>
          </w:tcPr>
          <w:p>
            <w:pPr>
              <w:spacing w:after="0" w:before="0" w:line="252"/>
            </w:pPr>
          </w:p>
        </w:tc>
      </w:tr>
      <w:tr>
        <w:trPr>
          <w:cantSplit/>
          <w:tblHeader w:val="false"/>
          <w:trHeight w:val="400" w:hRule="atLeast"/>
        </w:trPr>
        <w:tc>
          <w:tcPr>
            <w:tcW w:type="dxa" w:w="1467"/>
            <w:tcMar>
              <w:top w:type="dxa" w:w="60"/>
              <w:left w:type="dxa" w:w="100"/>
              <w:bottom w:type="dxa" w:w="60"/>
              <w:right w:type="dxa" w:w="100"/>
            </w:tcMar>
            <w:vAlign w:val="top"/>
          </w:tcPr>
          <w:p>
            <w:pPr>
              <w:spacing w:after="0" w:before="0" w:line="252"/>
            </w:pPr>
          </w:p>
        </w:tc>
        <w:tc>
          <w:tcPr>
            <w:tcW w:type="dxa" w:w="1436"/>
            <w:tcMar>
              <w:top w:type="dxa" w:w="60"/>
              <w:left w:type="dxa" w:w="100"/>
              <w:bottom w:type="dxa" w:w="60"/>
              <w:right w:type="dxa" w:w="100"/>
            </w:tcMar>
            <w:vAlign w:val="top"/>
          </w:tcPr>
          <w:p>
            <w:pPr>
              <w:spacing w:after="0" w:before="0" w:line="252"/>
            </w:pPr>
          </w:p>
        </w:tc>
        <w:tc>
          <w:tcPr>
            <w:tcW w:type="dxa" w:w="1817"/>
            <w:tcMar>
              <w:top w:type="dxa" w:w="60"/>
              <w:left w:type="dxa" w:w="100"/>
              <w:bottom w:type="dxa" w:w="60"/>
              <w:right w:type="dxa" w:w="100"/>
            </w:tcMar>
            <w:vAlign w:val="top"/>
          </w:tcPr>
          <w:p>
            <w:pPr>
              <w:spacing w:after="0" w:before="0" w:line="252"/>
            </w:pPr>
          </w:p>
        </w:tc>
        <w:tc>
          <w:tcPr>
            <w:tcW w:type="dxa" w:w="1611"/>
            <w:tcMar>
              <w:top w:type="dxa" w:w="60"/>
              <w:left w:type="dxa" w:w="100"/>
              <w:bottom w:type="dxa" w:w="60"/>
              <w:right w:type="dxa" w:w="100"/>
            </w:tcMar>
            <w:vAlign w:val="top"/>
          </w:tcPr>
          <w:p>
            <w:pPr>
              <w:spacing w:after="0" w:before="0" w:line="252"/>
            </w:pPr>
          </w:p>
        </w:tc>
        <w:tc>
          <w:tcPr>
            <w:tcW w:type="dxa" w:w="1601"/>
            <w:tcMar>
              <w:top w:type="dxa" w:w="60"/>
              <w:left w:type="dxa" w:w="100"/>
              <w:bottom w:type="dxa" w:w="60"/>
              <w:right w:type="dxa" w:w="100"/>
            </w:tcMar>
            <w:vAlign w:val="top"/>
          </w:tcPr>
          <w:p>
            <w:pPr>
              <w:spacing w:after="0" w:before="0" w:line="252"/>
            </w:pPr>
          </w:p>
        </w:tc>
        <w:tc>
          <w:tcPr>
            <w:tcW w:type="dxa" w:w="1428"/>
            <w:tcMar>
              <w:top w:type="dxa" w:w="60"/>
              <w:left w:type="dxa" w:w="100"/>
              <w:bottom w:type="dxa" w:w="60"/>
              <w:right w:type="dxa" w:w="100"/>
            </w:tcMar>
            <w:vAlign w:val="top"/>
          </w:tcPr>
          <w:p>
            <w:pPr>
              <w:spacing w:after="0" w:before="0" w:line="252"/>
            </w:pPr>
          </w:p>
        </w:tc>
      </w:tr>
    </w:tbl>
    <w:p>
      <w:pPr>
        <w:spacing w:after="120"/>
      </w:pPr>
    </w:p>
    <w:p>
      <w:pPr>
        <w:pStyle w:val="Heading3"/>
        <w:keepNext/>
      </w:pPr>
      <w:r>
        <w:rPr>
          <w:rFonts w:ascii="Calibri" w:cs="Calibri" w:eastAsia="Calibri" w:hAnsi="Calibri"/>
        </w:rPr>
        <w:t xml:space="preserve">T3b. Data assets and master data</w:t>
      </w:r>
    </w:p>
    <w:tbl>
      <w:tblPr>
        <w:tblW w:type="dxa" w:w="9360"/>
        <w:tblBorders>
          <w:top w:val="single" w:color="CBD5E1" w:sz="4"/>
          <w:left w:val="single" w:color="CBD5E1" w:sz="4"/>
          <w:bottom w:val="single" w:color="CBD5E1" w:sz="4"/>
          <w:right w:val="single" w:color="CBD5E1" w:sz="4"/>
          <w:insideH w:val="single" w:color="CBD5E1" w:sz="4"/>
          <w:insideV w:val="single" w:color="CBD5E1" w:sz="4"/>
        </w:tblBorders>
        <w:tblLayout w:type="fixed"/>
      </w:tblPr>
      <w:tblGrid>
        <w:gridCol w:w="1575"/>
        <w:gridCol w:w="1517"/>
        <w:gridCol w:w="1643"/>
        <w:gridCol w:w="1575"/>
        <w:gridCol w:w="1472"/>
        <w:gridCol w:w="1578"/>
      </w:tblGrid>
      <w:tr>
        <w:trPr>
          <w:cantSplit/>
          <w:tblHeader/>
        </w:trPr>
        <w:tc>
          <w:tcPr>
            <w:tcW w:type="dxa" w:w="1575"/>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Data asset</w:t>
            </w:r>
          </w:p>
        </w:tc>
        <w:tc>
          <w:tcPr>
            <w:tcW w:type="dxa" w:w="1517"/>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System of record</w:t>
            </w:r>
          </w:p>
        </w:tc>
        <w:tc>
          <w:tcPr>
            <w:tcW w:type="dxa" w:w="1643"/>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Golden record today?</w:t>
            </w:r>
          </w:p>
        </w:tc>
        <w:tc>
          <w:tcPr>
            <w:tcW w:type="dxa" w:w="1575"/>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Quality and risk notes</w:t>
            </w:r>
          </w:p>
        </w:tc>
        <w:tc>
          <w:tcPr>
            <w:tcW w:type="dxa" w:w="1472"/>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Sensitivity</w:t>
            </w:r>
          </w:p>
        </w:tc>
        <w:tc>
          <w:tcPr>
            <w:tcW w:type="dxa" w:w="1578"/>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Owner or steward</w:t>
            </w:r>
          </w:p>
        </w:tc>
      </w:tr>
      <w:tr>
        <w:trPr>
          <w:cantSplit/>
          <w:tblHeader w:val="false"/>
        </w:trPr>
        <w:tc>
          <w:tcPr>
            <w:tcW w:type="dxa" w:w="1575"/>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[Domain or data set]</w:t>
            </w:r>
          </w:p>
        </w:tc>
        <w:tc>
          <w:tcPr>
            <w:tcW w:type="dxa" w:w="1517"/>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[System]</w:t>
            </w:r>
          </w:p>
        </w:tc>
        <w:tc>
          <w:tcPr>
            <w:tcW w:type="dxa" w:w="1643"/>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[Yes, partly, no]</w:t>
            </w:r>
          </w:p>
        </w:tc>
        <w:tc>
          <w:tcPr>
            <w:tcW w:type="dxa" w:w="1575"/>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[Issues]</w:t>
            </w:r>
          </w:p>
        </w:tc>
        <w:tc>
          <w:tcPr>
            <w:tcW w:type="dxa" w:w="1472"/>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[Class]</w:t>
            </w:r>
          </w:p>
        </w:tc>
        <w:tc>
          <w:tcPr>
            <w:tcW w:type="dxa" w:w="1578"/>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[Name or team]</w:t>
            </w:r>
          </w:p>
        </w:tc>
      </w:tr>
      <w:tr>
        <w:trPr>
          <w:cantSplit/>
          <w:tblHeader w:val="false"/>
          <w:trHeight w:val="400" w:hRule="atLeast"/>
        </w:trPr>
        <w:tc>
          <w:tcPr>
            <w:tcW w:type="dxa" w:w="1575"/>
            <w:tcMar>
              <w:top w:type="dxa" w:w="60"/>
              <w:left w:type="dxa" w:w="100"/>
              <w:bottom w:type="dxa" w:w="60"/>
              <w:right w:type="dxa" w:w="100"/>
            </w:tcMar>
            <w:vAlign w:val="top"/>
          </w:tcPr>
          <w:p>
            <w:pPr>
              <w:spacing w:after="0" w:before="0" w:line="252"/>
            </w:pPr>
          </w:p>
        </w:tc>
        <w:tc>
          <w:tcPr>
            <w:tcW w:type="dxa" w:w="1517"/>
            <w:tcMar>
              <w:top w:type="dxa" w:w="60"/>
              <w:left w:type="dxa" w:w="100"/>
              <w:bottom w:type="dxa" w:w="60"/>
              <w:right w:type="dxa" w:w="100"/>
            </w:tcMar>
            <w:vAlign w:val="top"/>
          </w:tcPr>
          <w:p>
            <w:pPr>
              <w:spacing w:after="0" w:before="0" w:line="252"/>
            </w:pPr>
          </w:p>
        </w:tc>
        <w:tc>
          <w:tcPr>
            <w:tcW w:type="dxa" w:w="1643"/>
            <w:tcMar>
              <w:top w:type="dxa" w:w="60"/>
              <w:left w:type="dxa" w:w="100"/>
              <w:bottom w:type="dxa" w:w="60"/>
              <w:right w:type="dxa" w:w="100"/>
            </w:tcMar>
            <w:vAlign w:val="top"/>
          </w:tcPr>
          <w:p>
            <w:pPr>
              <w:spacing w:after="0" w:before="0" w:line="252"/>
            </w:pPr>
          </w:p>
        </w:tc>
        <w:tc>
          <w:tcPr>
            <w:tcW w:type="dxa" w:w="1575"/>
            <w:tcMar>
              <w:top w:type="dxa" w:w="60"/>
              <w:left w:type="dxa" w:w="100"/>
              <w:bottom w:type="dxa" w:w="60"/>
              <w:right w:type="dxa" w:w="100"/>
            </w:tcMar>
            <w:vAlign w:val="top"/>
          </w:tcPr>
          <w:p>
            <w:pPr>
              <w:spacing w:after="0" w:before="0" w:line="252"/>
            </w:pPr>
          </w:p>
        </w:tc>
        <w:tc>
          <w:tcPr>
            <w:tcW w:type="dxa" w:w="1472"/>
            <w:tcMar>
              <w:top w:type="dxa" w:w="60"/>
              <w:left w:type="dxa" w:w="100"/>
              <w:bottom w:type="dxa" w:w="60"/>
              <w:right w:type="dxa" w:w="100"/>
            </w:tcMar>
            <w:vAlign w:val="top"/>
          </w:tcPr>
          <w:p>
            <w:pPr>
              <w:spacing w:after="0" w:before="0" w:line="252"/>
            </w:pPr>
          </w:p>
        </w:tc>
        <w:tc>
          <w:tcPr>
            <w:tcW w:type="dxa" w:w="1578"/>
            <w:tcMar>
              <w:top w:type="dxa" w:w="60"/>
              <w:left w:type="dxa" w:w="100"/>
              <w:bottom w:type="dxa" w:w="60"/>
              <w:right w:type="dxa" w:w="100"/>
            </w:tcMar>
            <w:vAlign w:val="top"/>
          </w:tcPr>
          <w:p>
            <w:pPr>
              <w:spacing w:after="0" w:before="0" w:line="252"/>
            </w:pPr>
          </w:p>
        </w:tc>
      </w:tr>
      <w:tr>
        <w:trPr>
          <w:cantSplit/>
          <w:tblHeader w:val="false"/>
          <w:trHeight w:val="400" w:hRule="atLeast"/>
        </w:trPr>
        <w:tc>
          <w:tcPr>
            <w:tcW w:type="dxa" w:w="1575"/>
            <w:tcMar>
              <w:top w:type="dxa" w:w="60"/>
              <w:left w:type="dxa" w:w="100"/>
              <w:bottom w:type="dxa" w:w="60"/>
              <w:right w:type="dxa" w:w="100"/>
            </w:tcMar>
            <w:vAlign w:val="top"/>
          </w:tcPr>
          <w:p>
            <w:pPr>
              <w:spacing w:after="0" w:before="0" w:line="252"/>
            </w:pPr>
          </w:p>
        </w:tc>
        <w:tc>
          <w:tcPr>
            <w:tcW w:type="dxa" w:w="1517"/>
            <w:tcMar>
              <w:top w:type="dxa" w:w="60"/>
              <w:left w:type="dxa" w:w="100"/>
              <w:bottom w:type="dxa" w:w="60"/>
              <w:right w:type="dxa" w:w="100"/>
            </w:tcMar>
            <w:vAlign w:val="top"/>
          </w:tcPr>
          <w:p>
            <w:pPr>
              <w:spacing w:after="0" w:before="0" w:line="252"/>
            </w:pPr>
          </w:p>
        </w:tc>
        <w:tc>
          <w:tcPr>
            <w:tcW w:type="dxa" w:w="1643"/>
            <w:tcMar>
              <w:top w:type="dxa" w:w="60"/>
              <w:left w:type="dxa" w:w="100"/>
              <w:bottom w:type="dxa" w:w="60"/>
              <w:right w:type="dxa" w:w="100"/>
            </w:tcMar>
            <w:vAlign w:val="top"/>
          </w:tcPr>
          <w:p>
            <w:pPr>
              <w:spacing w:after="0" w:before="0" w:line="252"/>
            </w:pPr>
          </w:p>
        </w:tc>
        <w:tc>
          <w:tcPr>
            <w:tcW w:type="dxa" w:w="1575"/>
            <w:tcMar>
              <w:top w:type="dxa" w:w="60"/>
              <w:left w:type="dxa" w:w="100"/>
              <w:bottom w:type="dxa" w:w="60"/>
              <w:right w:type="dxa" w:w="100"/>
            </w:tcMar>
            <w:vAlign w:val="top"/>
          </w:tcPr>
          <w:p>
            <w:pPr>
              <w:spacing w:after="0" w:before="0" w:line="252"/>
            </w:pPr>
          </w:p>
        </w:tc>
        <w:tc>
          <w:tcPr>
            <w:tcW w:type="dxa" w:w="1472"/>
            <w:tcMar>
              <w:top w:type="dxa" w:w="60"/>
              <w:left w:type="dxa" w:w="100"/>
              <w:bottom w:type="dxa" w:w="60"/>
              <w:right w:type="dxa" w:w="100"/>
            </w:tcMar>
            <w:vAlign w:val="top"/>
          </w:tcPr>
          <w:p>
            <w:pPr>
              <w:spacing w:after="0" w:before="0" w:line="252"/>
            </w:pPr>
          </w:p>
        </w:tc>
        <w:tc>
          <w:tcPr>
            <w:tcW w:type="dxa" w:w="1578"/>
            <w:tcMar>
              <w:top w:type="dxa" w:w="60"/>
              <w:left w:type="dxa" w:w="100"/>
              <w:bottom w:type="dxa" w:w="60"/>
              <w:right w:type="dxa" w:w="100"/>
            </w:tcMar>
            <w:vAlign w:val="top"/>
          </w:tcPr>
          <w:p>
            <w:pPr>
              <w:spacing w:after="0" w:before="0" w:line="252"/>
            </w:pPr>
          </w:p>
        </w:tc>
      </w:tr>
      <w:tr>
        <w:trPr>
          <w:cantSplit/>
          <w:tblHeader w:val="false"/>
          <w:trHeight w:val="400" w:hRule="atLeast"/>
        </w:trPr>
        <w:tc>
          <w:tcPr>
            <w:tcW w:type="dxa" w:w="1575"/>
            <w:tcMar>
              <w:top w:type="dxa" w:w="60"/>
              <w:left w:type="dxa" w:w="100"/>
              <w:bottom w:type="dxa" w:w="60"/>
              <w:right w:type="dxa" w:w="100"/>
            </w:tcMar>
            <w:vAlign w:val="top"/>
          </w:tcPr>
          <w:p>
            <w:pPr>
              <w:spacing w:after="0" w:before="0" w:line="252"/>
            </w:pPr>
          </w:p>
        </w:tc>
        <w:tc>
          <w:tcPr>
            <w:tcW w:type="dxa" w:w="1517"/>
            <w:tcMar>
              <w:top w:type="dxa" w:w="60"/>
              <w:left w:type="dxa" w:w="100"/>
              <w:bottom w:type="dxa" w:w="60"/>
              <w:right w:type="dxa" w:w="100"/>
            </w:tcMar>
            <w:vAlign w:val="top"/>
          </w:tcPr>
          <w:p>
            <w:pPr>
              <w:spacing w:after="0" w:before="0" w:line="252"/>
            </w:pPr>
          </w:p>
        </w:tc>
        <w:tc>
          <w:tcPr>
            <w:tcW w:type="dxa" w:w="1643"/>
            <w:tcMar>
              <w:top w:type="dxa" w:w="60"/>
              <w:left w:type="dxa" w:w="100"/>
              <w:bottom w:type="dxa" w:w="60"/>
              <w:right w:type="dxa" w:w="100"/>
            </w:tcMar>
            <w:vAlign w:val="top"/>
          </w:tcPr>
          <w:p>
            <w:pPr>
              <w:spacing w:after="0" w:before="0" w:line="252"/>
            </w:pPr>
          </w:p>
        </w:tc>
        <w:tc>
          <w:tcPr>
            <w:tcW w:type="dxa" w:w="1575"/>
            <w:tcMar>
              <w:top w:type="dxa" w:w="60"/>
              <w:left w:type="dxa" w:w="100"/>
              <w:bottom w:type="dxa" w:w="60"/>
              <w:right w:type="dxa" w:w="100"/>
            </w:tcMar>
            <w:vAlign w:val="top"/>
          </w:tcPr>
          <w:p>
            <w:pPr>
              <w:spacing w:after="0" w:before="0" w:line="252"/>
            </w:pPr>
          </w:p>
        </w:tc>
        <w:tc>
          <w:tcPr>
            <w:tcW w:type="dxa" w:w="1472"/>
            <w:tcMar>
              <w:top w:type="dxa" w:w="60"/>
              <w:left w:type="dxa" w:w="100"/>
              <w:bottom w:type="dxa" w:w="60"/>
              <w:right w:type="dxa" w:w="100"/>
            </w:tcMar>
            <w:vAlign w:val="top"/>
          </w:tcPr>
          <w:p>
            <w:pPr>
              <w:spacing w:after="0" w:before="0" w:line="252"/>
            </w:pPr>
          </w:p>
        </w:tc>
        <w:tc>
          <w:tcPr>
            <w:tcW w:type="dxa" w:w="1578"/>
            <w:tcMar>
              <w:top w:type="dxa" w:w="60"/>
              <w:left w:type="dxa" w:w="100"/>
              <w:bottom w:type="dxa" w:w="60"/>
              <w:right w:type="dxa" w:w="100"/>
            </w:tcMar>
            <w:vAlign w:val="top"/>
          </w:tcPr>
          <w:p>
            <w:pPr>
              <w:spacing w:after="0" w:before="0" w:line="252"/>
            </w:pPr>
          </w:p>
        </w:tc>
      </w:tr>
    </w:tbl>
    <w:p>
      <w:pPr>
        <w:spacing w:after="120"/>
      </w:pPr>
    </w:p>
    <w:p>
      <w:pPr>
        <w:pStyle w:val="Heading3"/>
        <w:keepNext/>
      </w:pPr>
      <w:r>
        <w:rPr>
          <w:rFonts w:ascii="Calibri" w:cs="Calibri" w:eastAsia="Calibri" w:hAnsi="Calibri"/>
        </w:rPr>
        <w:t xml:space="preserve">T3c. Integrations, APIs, events and MCP tools</w:t>
      </w:r>
    </w:p>
    <w:tbl>
      <w:tblPr>
        <w:tblW w:type="dxa" w:w="9360"/>
        <w:tblBorders>
          <w:top w:val="single" w:color="CBD5E1" w:sz="4"/>
          <w:left w:val="single" w:color="CBD5E1" w:sz="4"/>
          <w:bottom w:val="single" w:color="CBD5E1" w:sz="4"/>
          <w:right w:val="single" w:color="CBD5E1" w:sz="4"/>
          <w:insideH w:val="single" w:color="CBD5E1" w:sz="4"/>
          <w:insideV w:val="single" w:color="CBD5E1" w:sz="4"/>
        </w:tblBorders>
        <w:tblLayout w:type="fixed"/>
      </w:tblPr>
      <w:tblGrid>
        <w:gridCol w:w="1613"/>
        <w:gridCol w:w="1469"/>
        <w:gridCol w:w="1562"/>
        <w:gridCol w:w="1531"/>
        <w:gridCol w:w="1712"/>
        <w:gridCol w:w="1473"/>
      </w:tblGrid>
      <w:tr>
        <w:trPr>
          <w:cantSplit/>
          <w:tblHeader/>
        </w:trPr>
        <w:tc>
          <w:tcPr>
            <w:tcW w:type="dxa" w:w="1613"/>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Tool or interface</w:t>
            </w:r>
          </w:p>
        </w:tc>
        <w:tc>
          <w:tcPr>
            <w:tcW w:type="dxa" w:w="1469"/>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System</w:t>
            </w:r>
          </w:p>
        </w:tc>
        <w:tc>
          <w:tcPr>
            <w:tcW w:type="dxa" w:w="1562"/>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Operation</w:t>
            </w:r>
          </w:p>
        </w:tc>
        <w:tc>
          <w:tcPr>
            <w:tcW w:type="dxa" w:w="1531"/>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Scope</w:t>
            </w:r>
          </w:p>
        </w:tc>
        <w:tc>
          <w:tcPr>
            <w:tcW w:type="dxa" w:w="1712"/>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Exists or to build</w:t>
            </w:r>
          </w:p>
        </w:tc>
        <w:tc>
          <w:tcPr>
            <w:tcW w:type="dxa" w:w="1473"/>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Used by</w:t>
            </w:r>
          </w:p>
        </w:tc>
      </w:tr>
      <w:tr>
        <w:trPr>
          <w:cantSplit/>
          <w:tblHeader w:val="false"/>
        </w:trPr>
        <w:tc>
          <w:tcPr>
            <w:tcW w:type="dxa" w:w="1613"/>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[tool_name]</w:t>
            </w:r>
          </w:p>
        </w:tc>
        <w:tc>
          <w:tcPr>
            <w:tcW w:type="dxa" w:w="1469"/>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[System]</w:t>
            </w:r>
          </w:p>
        </w:tc>
        <w:tc>
          <w:tcPr>
            <w:tcW w:type="dxa" w:w="1562"/>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[What it does]</w:t>
            </w:r>
          </w:p>
        </w:tc>
        <w:tc>
          <w:tcPr>
            <w:tcW w:type="dxa" w:w="1531"/>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[Read or write]</w:t>
            </w:r>
          </w:p>
        </w:tc>
        <w:tc>
          <w:tcPr>
            <w:tcW w:type="dxa" w:w="1712"/>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[Exists or to build]</w:t>
            </w:r>
          </w:p>
        </w:tc>
        <w:tc>
          <w:tcPr>
            <w:tcW w:type="dxa" w:w="1473"/>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[Agent]</w:t>
            </w:r>
          </w:p>
        </w:tc>
      </w:tr>
      <w:tr>
        <w:trPr>
          <w:cantSplit/>
          <w:tblHeader w:val="false"/>
          <w:trHeight w:val="400" w:hRule="atLeast"/>
        </w:trPr>
        <w:tc>
          <w:tcPr>
            <w:tcW w:type="dxa" w:w="1613"/>
            <w:tcMar>
              <w:top w:type="dxa" w:w="60"/>
              <w:left w:type="dxa" w:w="100"/>
              <w:bottom w:type="dxa" w:w="60"/>
              <w:right w:type="dxa" w:w="100"/>
            </w:tcMar>
            <w:vAlign w:val="top"/>
          </w:tcPr>
          <w:p>
            <w:pPr>
              <w:spacing w:after="0" w:before="0" w:line="252"/>
            </w:pPr>
          </w:p>
        </w:tc>
        <w:tc>
          <w:tcPr>
            <w:tcW w:type="dxa" w:w="1469"/>
            <w:tcMar>
              <w:top w:type="dxa" w:w="60"/>
              <w:left w:type="dxa" w:w="100"/>
              <w:bottom w:type="dxa" w:w="60"/>
              <w:right w:type="dxa" w:w="100"/>
            </w:tcMar>
            <w:vAlign w:val="top"/>
          </w:tcPr>
          <w:p>
            <w:pPr>
              <w:spacing w:after="0" w:before="0" w:line="252"/>
            </w:pPr>
          </w:p>
        </w:tc>
        <w:tc>
          <w:tcPr>
            <w:tcW w:type="dxa" w:w="1562"/>
            <w:tcMar>
              <w:top w:type="dxa" w:w="60"/>
              <w:left w:type="dxa" w:w="100"/>
              <w:bottom w:type="dxa" w:w="60"/>
              <w:right w:type="dxa" w:w="100"/>
            </w:tcMar>
            <w:vAlign w:val="top"/>
          </w:tcPr>
          <w:p>
            <w:pPr>
              <w:spacing w:after="0" w:before="0" w:line="252"/>
            </w:pPr>
          </w:p>
        </w:tc>
        <w:tc>
          <w:tcPr>
            <w:tcW w:type="dxa" w:w="1531"/>
            <w:tcMar>
              <w:top w:type="dxa" w:w="60"/>
              <w:left w:type="dxa" w:w="100"/>
              <w:bottom w:type="dxa" w:w="60"/>
              <w:right w:type="dxa" w:w="100"/>
            </w:tcMar>
            <w:vAlign w:val="top"/>
          </w:tcPr>
          <w:p>
            <w:pPr>
              <w:spacing w:after="0" w:before="0" w:line="252"/>
            </w:pPr>
          </w:p>
        </w:tc>
        <w:tc>
          <w:tcPr>
            <w:tcW w:type="dxa" w:w="1712"/>
            <w:tcMar>
              <w:top w:type="dxa" w:w="60"/>
              <w:left w:type="dxa" w:w="100"/>
              <w:bottom w:type="dxa" w:w="60"/>
              <w:right w:type="dxa" w:w="100"/>
            </w:tcMar>
            <w:vAlign w:val="top"/>
          </w:tcPr>
          <w:p>
            <w:pPr>
              <w:spacing w:after="0" w:before="0" w:line="252"/>
            </w:pPr>
          </w:p>
        </w:tc>
        <w:tc>
          <w:tcPr>
            <w:tcW w:type="dxa" w:w="1473"/>
            <w:tcMar>
              <w:top w:type="dxa" w:w="60"/>
              <w:left w:type="dxa" w:w="100"/>
              <w:bottom w:type="dxa" w:w="60"/>
              <w:right w:type="dxa" w:w="100"/>
            </w:tcMar>
            <w:vAlign w:val="top"/>
          </w:tcPr>
          <w:p>
            <w:pPr>
              <w:spacing w:after="0" w:before="0" w:line="252"/>
            </w:pPr>
          </w:p>
        </w:tc>
      </w:tr>
      <w:tr>
        <w:trPr>
          <w:cantSplit/>
          <w:tblHeader w:val="false"/>
          <w:trHeight w:val="400" w:hRule="atLeast"/>
        </w:trPr>
        <w:tc>
          <w:tcPr>
            <w:tcW w:type="dxa" w:w="1613"/>
            <w:tcMar>
              <w:top w:type="dxa" w:w="60"/>
              <w:left w:type="dxa" w:w="100"/>
              <w:bottom w:type="dxa" w:w="60"/>
              <w:right w:type="dxa" w:w="100"/>
            </w:tcMar>
            <w:vAlign w:val="top"/>
          </w:tcPr>
          <w:p>
            <w:pPr>
              <w:spacing w:after="0" w:before="0" w:line="252"/>
            </w:pPr>
          </w:p>
        </w:tc>
        <w:tc>
          <w:tcPr>
            <w:tcW w:type="dxa" w:w="1469"/>
            <w:tcMar>
              <w:top w:type="dxa" w:w="60"/>
              <w:left w:type="dxa" w:w="100"/>
              <w:bottom w:type="dxa" w:w="60"/>
              <w:right w:type="dxa" w:w="100"/>
            </w:tcMar>
            <w:vAlign w:val="top"/>
          </w:tcPr>
          <w:p>
            <w:pPr>
              <w:spacing w:after="0" w:before="0" w:line="252"/>
            </w:pPr>
          </w:p>
        </w:tc>
        <w:tc>
          <w:tcPr>
            <w:tcW w:type="dxa" w:w="1562"/>
            <w:tcMar>
              <w:top w:type="dxa" w:w="60"/>
              <w:left w:type="dxa" w:w="100"/>
              <w:bottom w:type="dxa" w:w="60"/>
              <w:right w:type="dxa" w:w="100"/>
            </w:tcMar>
            <w:vAlign w:val="top"/>
          </w:tcPr>
          <w:p>
            <w:pPr>
              <w:spacing w:after="0" w:before="0" w:line="252"/>
            </w:pPr>
          </w:p>
        </w:tc>
        <w:tc>
          <w:tcPr>
            <w:tcW w:type="dxa" w:w="1531"/>
            <w:tcMar>
              <w:top w:type="dxa" w:w="60"/>
              <w:left w:type="dxa" w:w="100"/>
              <w:bottom w:type="dxa" w:w="60"/>
              <w:right w:type="dxa" w:w="100"/>
            </w:tcMar>
            <w:vAlign w:val="top"/>
          </w:tcPr>
          <w:p>
            <w:pPr>
              <w:spacing w:after="0" w:before="0" w:line="252"/>
            </w:pPr>
          </w:p>
        </w:tc>
        <w:tc>
          <w:tcPr>
            <w:tcW w:type="dxa" w:w="1712"/>
            <w:tcMar>
              <w:top w:type="dxa" w:w="60"/>
              <w:left w:type="dxa" w:w="100"/>
              <w:bottom w:type="dxa" w:w="60"/>
              <w:right w:type="dxa" w:w="100"/>
            </w:tcMar>
            <w:vAlign w:val="top"/>
          </w:tcPr>
          <w:p>
            <w:pPr>
              <w:spacing w:after="0" w:before="0" w:line="252"/>
            </w:pPr>
          </w:p>
        </w:tc>
        <w:tc>
          <w:tcPr>
            <w:tcW w:type="dxa" w:w="1473"/>
            <w:tcMar>
              <w:top w:type="dxa" w:w="60"/>
              <w:left w:type="dxa" w:w="100"/>
              <w:bottom w:type="dxa" w:w="60"/>
              <w:right w:type="dxa" w:w="100"/>
            </w:tcMar>
            <w:vAlign w:val="top"/>
          </w:tcPr>
          <w:p>
            <w:pPr>
              <w:spacing w:after="0" w:before="0" w:line="252"/>
            </w:pPr>
          </w:p>
        </w:tc>
      </w:tr>
      <w:tr>
        <w:trPr>
          <w:cantSplit/>
          <w:tblHeader w:val="false"/>
          <w:trHeight w:val="400" w:hRule="atLeast"/>
        </w:trPr>
        <w:tc>
          <w:tcPr>
            <w:tcW w:type="dxa" w:w="1613"/>
            <w:tcMar>
              <w:top w:type="dxa" w:w="60"/>
              <w:left w:type="dxa" w:w="100"/>
              <w:bottom w:type="dxa" w:w="60"/>
              <w:right w:type="dxa" w:w="100"/>
            </w:tcMar>
            <w:vAlign w:val="top"/>
          </w:tcPr>
          <w:p>
            <w:pPr>
              <w:spacing w:after="0" w:before="0" w:line="252"/>
            </w:pPr>
          </w:p>
        </w:tc>
        <w:tc>
          <w:tcPr>
            <w:tcW w:type="dxa" w:w="1469"/>
            <w:tcMar>
              <w:top w:type="dxa" w:w="60"/>
              <w:left w:type="dxa" w:w="100"/>
              <w:bottom w:type="dxa" w:w="60"/>
              <w:right w:type="dxa" w:w="100"/>
            </w:tcMar>
            <w:vAlign w:val="top"/>
          </w:tcPr>
          <w:p>
            <w:pPr>
              <w:spacing w:after="0" w:before="0" w:line="252"/>
            </w:pPr>
          </w:p>
        </w:tc>
        <w:tc>
          <w:tcPr>
            <w:tcW w:type="dxa" w:w="1562"/>
            <w:tcMar>
              <w:top w:type="dxa" w:w="60"/>
              <w:left w:type="dxa" w:w="100"/>
              <w:bottom w:type="dxa" w:w="60"/>
              <w:right w:type="dxa" w:w="100"/>
            </w:tcMar>
            <w:vAlign w:val="top"/>
          </w:tcPr>
          <w:p>
            <w:pPr>
              <w:spacing w:after="0" w:before="0" w:line="252"/>
            </w:pPr>
          </w:p>
        </w:tc>
        <w:tc>
          <w:tcPr>
            <w:tcW w:type="dxa" w:w="1531"/>
            <w:tcMar>
              <w:top w:type="dxa" w:w="60"/>
              <w:left w:type="dxa" w:w="100"/>
              <w:bottom w:type="dxa" w:w="60"/>
              <w:right w:type="dxa" w:w="100"/>
            </w:tcMar>
            <w:vAlign w:val="top"/>
          </w:tcPr>
          <w:p>
            <w:pPr>
              <w:spacing w:after="0" w:before="0" w:line="252"/>
            </w:pPr>
          </w:p>
        </w:tc>
        <w:tc>
          <w:tcPr>
            <w:tcW w:type="dxa" w:w="1712"/>
            <w:tcMar>
              <w:top w:type="dxa" w:w="60"/>
              <w:left w:type="dxa" w:w="100"/>
              <w:bottom w:type="dxa" w:w="60"/>
              <w:right w:type="dxa" w:w="100"/>
            </w:tcMar>
            <w:vAlign w:val="top"/>
          </w:tcPr>
          <w:p>
            <w:pPr>
              <w:spacing w:after="0" w:before="0" w:line="252"/>
            </w:pPr>
          </w:p>
        </w:tc>
        <w:tc>
          <w:tcPr>
            <w:tcW w:type="dxa" w:w="1473"/>
            <w:tcMar>
              <w:top w:type="dxa" w:w="60"/>
              <w:left w:type="dxa" w:w="100"/>
              <w:bottom w:type="dxa" w:w="60"/>
              <w:right w:type="dxa" w:w="100"/>
            </w:tcMar>
            <w:vAlign w:val="top"/>
          </w:tcPr>
          <w:p>
            <w:pPr>
              <w:spacing w:after="0" w:before="0" w:line="252"/>
            </w:pPr>
          </w:p>
        </w:tc>
      </w:tr>
    </w:tbl>
    <w:p>
      <w:pPr>
        <w:spacing w:after="120"/>
      </w:pPr>
    </w:p>
    <w:p>
      <w:pPr>
        <w:pStyle w:val="Heading3"/>
        <w:keepNext/>
      </w:pPr>
      <w:r>
        <w:rPr>
          <w:rFonts w:ascii="Calibri" w:cs="Calibri" w:eastAsia="Calibri" w:hAnsi="Calibri"/>
        </w:rPr>
        <w:t xml:space="preserve">T3d. Agents and copilots</w:t>
      </w:r>
    </w:p>
    <w:tbl>
      <w:tblPr>
        <w:tblW w:type="dxa" w:w="9360"/>
        <w:tblBorders>
          <w:top w:val="single" w:color="CBD5E1" w:sz="4"/>
          <w:left w:val="single" w:color="CBD5E1" w:sz="4"/>
          <w:bottom w:val="single" w:color="CBD5E1" w:sz="4"/>
          <w:right w:val="single" w:color="CBD5E1" w:sz="4"/>
          <w:insideH w:val="single" w:color="CBD5E1" w:sz="4"/>
          <w:insideV w:val="single" w:color="CBD5E1" w:sz="4"/>
        </w:tblBorders>
        <w:tblLayout w:type="fixed"/>
      </w:tblPr>
      <w:tblGrid>
        <w:gridCol w:w="1402"/>
        <w:gridCol w:w="1808"/>
        <w:gridCol w:w="1443"/>
        <w:gridCol w:w="1513"/>
        <w:gridCol w:w="1392"/>
        <w:gridCol w:w="1802"/>
      </w:tblGrid>
      <w:tr>
        <w:trPr>
          <w:cantSplit/>
          <w:tblHeader/>
        </w:trPr>
        <w:tc>
          <w:tcPr>
            <w:tcW w:type="dxa" w:w="1402"/>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Agent</w:t>
            </w:r>
          </w:p>
        </w:tc>
        <w:tc>
          <w:tcPr>
            <w:tcW w:type="dxa" w:w="1808"/>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Responsibility</w:t>
            </w:r>
          </w:p>
        </w:tc>
        <w:tc>
          <w:tcPr>
            <w:tcW w:type="dxa" w:w="1443"/>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Tier</w:t>
            </w:r>
          </w:p>
        </w:tc>
        <w:tc>
          <w:tcPr>
            <w:tcW w:type="dxa" w:w="1513"/>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Human role</w:t>
            </w:r>
          </w:p>
        </w:tc>
        <w:tc>
          <w:tcPr>
            <w:tcW w:type="dxa" w:w="1392"/>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Owner</w:t>
            </w:r>
          </w:p>
        </w:tc>
        <w:tc>
          <w:tcPr>
            <w:tcW w:type="dxa" w:w="1802"/>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Status and phase</w:t>
            </w:r>
          </w:p>
        </w:tc>
      </w:tr>
      <w:tr>
        <w:trPr>
          <w:cantSplit/>
          <w:tblHeader w:val="false"/>
        </w:trPr>
        <w:tc>
          <w:tcPr>
            <w:tcW w:type="dxa" w:w="1402"/>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[Agent]</w:t>
            </w:r>
          </w:p>
        </w:tc>
        <w:tc>
          <w:tcPr>
            <w:tcW w:type="dxa" w:w="1808"/>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[What it does]</w:t>
            </w:r>
          </w:p>
        </w:tc>
        <w:tc>
          <w:tcPr>
            <w:tcW w:type="dxa" w:w="1443"/>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[Tier, mode]</w:t>
            </w:r>
          </w:p>
        </w:tc>
        <w:tc>
          <w:tcPr>
            <w:tcW w:type="dxa" w:w="1513"/>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[Who decides]</w:t>
            </w:r>
          </w:p>
        </w:tc>
        <w:tc>
          <w:tcPr>
            <w:tcW w:type="dxa" w:w="1392"/>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[Team]</w:t>
            </w:r>
          </w:p>
        </w:tc>
        <w:tc>
          <w:tcPr>
            <w:tcW w:type="dxa" w:w="1802"/>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[Live, pilot, planned, shadow; phase]</w:t>
            </w:r>
          </w:p>
        </w:tc>
      </w:tr>
      <w:tr>
        <w:trPr>
          <w:cantSplit/>
          <w:tblHeader w:val="false"/>
          <w:trHeight w:val="400" w:hRule="atLeast"/>
        </w:trPr>
        <w:tc>
          <w:tcPr>
            <w:tcW w:type="dxa" w:w="1402"/>
            <w:tcMar>
              <w:top w:type="dxa" w:w="60"/>
              <w:left w:type="dxa" w:w="100"/>
              <w:bottom w:type="dxa" w:w="60"/>
              <w:right w:type="dxa" w:w="100"/>
            </w:tcMar>
            <w:vAlign w:val="top"/>
          </w:tcPr>
          <w:p>
            <w:pPr>
              <w:spacing w:after="0" w:before="0" w:line="252"/>
            </w:pPr>
          </w:p>
        </w:tc>
        <w:tc>
          <w:tcPr>
            <w:tcW w:type="dxa" w:w="1808"/>
            <w:tcMar>
              <w:top w:type="dxa" w:w="60"/>
              <w:left w:type="dxa" w:w="100"/>
              <w:bottom w:type="dxa" w:w="60"/>
              <w:right w:type="dxa" w:w="100"/>
            </w:tcMar>
            <w:vAlign w:val="top"/>
          </w:tcPr>
          <w:p>
            <w:pPr>
              <w:spacing w:after="0" w:before="0" w:line="252"/>
            </w:pPr>
          </w:p>
        </w:tc>
        <w:tc>
          <w:tcPr>
            <w:tcW w:type="dxa" w:w="1443"/>
            <w:tcMar>
              <w:top w:type="dxa" w:w="60"/>
              <w:left w:type="dxa" w:w="100"/>
              <w:bottom w:type="dxa" w:w="60"/>
              <w:right w:type="dxa" w:w="100"/>
            </w:tcMar>
            <w:vAlign w:val="top"/>
          </w:tcPr>
          <w:p>
            <w:pPr>
              <w:spacing w:after="0" w:before="0" w:line="252"/>
            </w:pPr>
          </w:p>
        </w:tc>
        <w:tc>
          <w:tcPr>
            <w:tcW w:type="dxa" w:w="1513"/>
            <w:tcMar>
              <w:top w:type="dxa" w:w="60"/>
              <w:left w:type="dxa" w:w="100"/>
              <w:bottom w:type="dxa" w:w="60"/>
              <w:right w:type="dxa" w:w="100"/>
            </w:tcMar>
            <w:vAlign w:val="top"/>
          </w:tcPr>
          <w:p>
            <w:pPr>
              <w:spacing w:after="0" w:before="0" w:line="252"/>
            </w:pPr>
          </w:p>
        </w:tc>
        <w:tc>
          <w:tcPr>
            <w:tcW w:type="dxa" w:w="1392"/>
            <w:tcMar>
              <w:top w:type="dxa" w:w="60"/>
              <w:left w:type="dxa" w:w="100"/>
              <w:bottom w:type="dxa" w:w="60"/>
              <w:right w:type="dxa" w:w="100"/>
            </w:tcMar>
            <w:vAlign w:val="top"/>
          </w:tcPr>
          <w:p>
            <w:pPr>
              <w:spacing w:after="0" w:before="0" w:line="252"/>
            </w:pPr>
          </w:p>
        </w:tc>
        <w:tc>
          <w:tcPr>
            <w:tcW w:type="dxa" w:w="1802"/>
            <w:tcMar>
              <w:top w:type="dxa" w:w="60"/>
              <w:left w:type="dxa" w:w="100"/>
              <w:bottom w:type="dxa" w:w="60"/>
              <w:right w:type="dxa" w:w="100"/>
            </w:tcMar>
            <w:vAlign w:val="top"/>
          </w:tcPr>
          <w:p>
            <w:pPr>
              <w:spacing w:after="0" w:before="0" w:line="252"/>
            </w:pPr>
          </w:p>
        </w:tc>
      </w:tr>
      <w:tr>
        <w:trPr>
          <w:cantSplit/>
          <w:tblHeader w:val="false"/>
          <w:trHeight w:val="400" w:hRule="atLeast"/>
        </w:trPr>
        <w:tc>
          <w:tcPr>
            <w:tcW w:type="dxa" w:w="1402"/>
            <w:tcMar>
              <w:top w:type="dxa" w:w="60"/>
              <w:left w:type="dxa" w:w="100"/>
              <w:bottom w:type="dxa" w:w="60"/>
              <w:right w:type="dxa" w:w="100"/>
            </w:tcMar>
            <w:vAlign w:val="top"/>
          </w:tcPr>
          <w:p>
            <w:pPr>
              <w:spacing w:after="0" w:before="0" w:line="252"/>
            </w:pPr>
          </w:p>
        </w:tc>
        <w:tc>
          <w:tcPr>
            <w:tcW w:type="dxa" w:w="1808"/>
            <w:tcMar>
              <w:top w:type="dxa" w:w="60"/>
              <w:left w:type="dxa" w:w="100"/>
              <w:bottom w:type="dxa" w:w="60"/>
              <w:right w:type="dxa" w:w="100"/>
            </w:tcMar>
            <w:vAlign w:val="top"/>
          </w:tcPr>
          <w:p>
            <w:pPr>
              <w:spacing w:after="0" w:before="0" w:line="252"/>
            </w:pPr>
          </w:p>
        </w:tc>
        <w:tc>
          <w:tcPr>
            <w:tcW w:type="dxa" w:w="1443"/>
            <w:tcMar>
              <w:top w:type="dxa" w:w="60"/>
              <w:left w:type="dxa" w:w="100"/>
              <w:bottom w:type="dxa" w:w="60"/>
              <w:right w:type="dxa" w:w="100"/>
            </w:tcMar>
            <w:vAlign w:val="top"/>
          </w:tcPr>
          <w:p>
            <w:pPr>
              <w:spacing w:after="0" w:before="0" w:line="252"/>
            </w:pPr>
          </w:p>
        </w:tc>
        <w:tc>
          <w:tcPr>
            <w:tcW w:type="dxa" w:w="1513"/>
            <w:tcMar>
              <w:top w:type="dxa" w:w="60"/>
              <w:left w:type="dxa" w:w="100"/>
              <w:bottom w:type="dxa" w:w="60"/>
              <w:right w:type="dxa" w:w="100"/>
            </w:tcMar>
            <w:vAlign w:val="top"/>
          </w:tcPr>
          <w:p>
            <w:pPr>
              <w:spacing w:after="0" w:before="0" w:line="252"/>
            </w:pPr>
          </w:p>
        </w:tc>
        <w:tc>
          <w:tcPr>
            <w:tcW w:type="dxa" w:w="1392"/>
            <w:tcMar>
              <w:top w:type="dxa" w:w="60"/>
              <w:left w:type="dxa" w:w="100"/>
              <w:bottom w:type="dxa" w:w="60"/>
              <w:right w:type="dxa" w:w="100"/>
            </w:tcMar>
            <w:vAlign w:val="top"/>
          </w:tcPr>
          <w:p>
            <w:pPr>
              <w:spacing w:after="0" w:before="0" w:line="252"/>
            </w:pPr>
          </w:p>
        </w:tc>
        <w:tc>
          <w:tcPr>
            <w:tcW w:type="dxa" w:w="1802"/>
            <w:tcMar>
              <w:top w:type="dxa" w:w="60"/>
              <w:left w:type="dxa" w:w="100"/>
              <w:bottom w:type="dxa" w:w="60"/>
              <w:right w:type="dxa" w:w="100"/>
            </w:tcMar>
            <w:vAlign w:val="top"/>
          </w:tcPr>
          <w:p>
            <w:pPr>
              <w:spacing w:after="0" w:before="0" w:line="252"/>
            </w:pPr>
          </w:p>
        </w:tc>
      </w:tr>
      <w:tr>
        <w:trPr>
          <w:cantSplit/>
          <w:tblHeader w:val="false"/>
          <w:trHeight w:val="400" w:hRule="atLeast"/>
        </w:trPr>
        <w:tc>
          <w:tcPr>
            <w:tcW w:type="dxa" w:w="1402"/>
            <w:tcMar>
              <w:top w:type="dxa" w:w="60"/>
              <w:left w:type="dxa" w:w="100"/>
              <w:bottom w:type="dxa" w:w="60"/>
              <w:right w:type="dxa" w:w="100"/>
            </w:tcMar>
            <w:vAlign w:val="top"/>
          </w:tcPr>
          <w:p>
            <w:pPr>
              <w:spacing w:after="0" w:before="0" w:line="252"/>
            </w:pPr>
          </w:p>
        </w:tc>
        <w:tc>
          <w:tcPr>
            <w:tcW w:type="dxa" w:w="1808"/>
            <w:tcMar>
              <w:top w:type="dxa" w:w="60"/>
              <w:left w:type="dxa" w:w="100"/>
              <w:bottom w:type="dxa" w:w="60"/>
              <w:right w:type="dxa" w:w="100"/>
            </w:tcMar>
            <w:vAlign w:val="top"/>
          </w:tcPr>
          <w:p>
            <w:pPr>
              <w:spacing w:after="0" w:before="0" w:line="252"/>
            </w:pPr>
          </w:p>
        </w:tc>
        <w:tc>
          <w:tcPr>
            <w:tcW w:type="dxa" w:w="1443"/>
            <w:tcMar>
              <w:top w:type="dxa" w:w="60"/>
              <w:left w:type="dxa" w:w="100"/>
              <w:bottom w:type="dxa" w:w="60"/>
              <w:right w:type="dxa" w:w="100"/>
            </w:tcMar>
            <w:vAlign w:val="top"/>
          </w:tcPr>
          <w:p>
            <w:pPr>
              <w:spacing w:after="0" w:before="0" w:line="252"/>
            </w:pPr>
          </w:p>
        </w:tc>
        <w:tc>
          <w:tcPr>
            <w:tcW w:type="dxa" w:w="1513"/>
            <w:tcMar>
              <w:top w:type="dxa" w:w="60"/>
              <w:left w:type="dxa" w:w="100"/>
              <w:bottom w:type="dxa" w:w="60"/>
              <w:right w:type="dxa" w:w="100"/>
            </w:tcMar>
            <w:vAlign w:val="top"/>
          </w:tcPr>
          <w:p>
            <w:pPr>
              <w:spacing w:after="0" w:before="0" w:line="252"/>
            </w:pPr>
          </w:p>
        </w:tc>
        <w:tc>
          <w:tcPr>
            <w:tcW w:type="dxa" w:w="1392"/>
            <w:tcMar>
              <w:top w:type="dxa" w:w="60"/>
              <w:left w:type="dxa" w:w="100"/>
              <w:bottom w:type="dxa" w:w="60"/>
              <w:right w:type="dxa" w:w="100"/>
            </w:tcMar>
            <w:vAlign w:val="top"/>
          </w:tcPr>
          <w:p>
            <w:pPr>
              <w:spacing w:after="0" w:before="0" w:line="252"/>
            </w:pPr>
          </w:p>
        </w:tc>
        <w:tc>
          <w:tcPr>
            <w:tcW w:type="dxa" w:w="1802"/>
            <w:tcMar>
              <w:top w:type="dxa" w:w="60"/>
              <w:left w:type="dxa" w:w="100"/>
              <w:bottom w:type="dxa" w:w="60"/>
              <w:right w:type="dxa" w:w="100"/>
            </w:tcMar>
            <w:vAlign w:val="top"/>
          </w:tcPr>
          <w:p>
            <w:pPr>
              <w:spacing w:after="0" w:before="0" w:line="252"/>
            </w:pPr>
          </w:p>
        </w:tc>
      </w:tr>
    </w:tbl>
    <w:p>
      <w:pPr>
        <w:spacing w:after="120"/>
      </w:pPr>
    </w:p>
    <w:tbl>
      <w:tblPr>
        <w:tblW w:type="dxa" w:w="9360"/>
        <w:tblBorders>
          <w:top w:val="single" w:color="CBD5E1" w:sz="4"/>
          <w:left w:val="single" w:color="CBD5E1" w:sz="4"/>
          <w:bottom w:val="single" w:color="CBD5E1" w:sz="4"/>
          <w:right w:val="single" w:color="CBD5E1" w:sz="4"/>
          <w:insideH w:val="single" w:color="CBD5E1" w:sz="4"/>
          <w:insideV w:val="single" w:color="CBD5E1" w:sz="4"/>
        </w:tblBorders>
        <w:tblLayout w:type="fixed"/>
      </w:tblPr>
      <w:tblGrid>
        <w:gridCol w:w="1325"/>
        <w:gridCol w:w="1334"/>
        <w:gridCol w:w="1530"/>
        <w:gridCol w:w="1920"/>
        <w:gridCol w:w="1576"/>
        <w:gridCol w:w="1675"/>
      </w:tblGrid>
      <w:tr>
        <w:trPr>
          <w:cantSplit/>
          <w:tblHeader/>
        </w:trPr>
        <w:tc>
          <w:tcPr>
            <w:tcW w:type="dxa" w:w="1325"/>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Agent</w:t>
            </w:r>
          </w:p>
        </w:tc>
        <w:tc>
          <w:tcPr>
            <w:tcW w:type="dxa" w:w="1334"/>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Sponsor</w:t>
            </w:r>
          </w:p>
        </w:tc>
        <w:tc>
          <w:tcPr>
            <w:tcW w:type="dxa" w:w="1530"/>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Lifecycle stage</w:t>
            </w:r>
          </w:p>
        </w:tc>
        <w:tc>
          <w:tcPr>
            <w:tcW w:type="dxa" w:w="1920"/>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Next recertification</w:t>
            </w:r>
          </w:p>
        </w:tc>
        <w:tc>
          <w:tcPr>
            <w:tcW w:type="dxa" w:w="1576"/>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Retirement criteria</w:t>
            </w:r>
          </w:p>
        </w:tc>
        <w:tc>
          <w:tcPr>
            <w:tcW w:type="dxa" w:w="1675"/>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Native control plane</w:t>
            </w:r>
          </w:p>
        </w:tc>
      </w:tr>
      <w:tr>
        <w:trPr>
          <w:cantSplit/>
          <w:tblHeader w:val="false"/>
        </w:trPr>
        <w:tc>
          <w:tcPr>
            <w:tcW w:type="dxa" w:w="1325"/>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[Agent]</w:t>
            </w:r>
          </w:p>
        </w:tc>
        <w:tc>
          <w:tcPr>
            <w:tcW w:type="dxa" w:w="1334"/>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[Name]</w:t>
            </w:r>
          </w:p>
        </w:tc>
        <w:tc>
          <w:tcPr>
            <w:tcW w:type="dxa" w:w="1530"/>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[Propose to retire]</w:t>
            </w:r>
          </w:p>
        </w:tc>
        <w:tc>
          <w:tcPr>
            <w:tcW w:type="dxa" w:w="1920"/>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[Date]</w:t>
            </w:r>
          </w:p>
        </w:tc>
        <w:tc>
          <w:tcPr>
            <w:tcW w:type="dxa" w:w="1576"/>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[When it is retired]</w:t>
            </w:r>
          </w:p>
        </w:tc>
        <w:tc>
          <w:tcPr>
            <w:tcW w:type="dxa" w:w="1675"/>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[Agent 365, AgentCore or none]</w:t>
            </w:r>
          </w:p>
        </w:tc>
      </w:tr>
      <w:tr>
        <w:trPr>
          <w:cantSplit/>
          <w:tblHeader w:val="false"/>
          <w:trHeight w:val="400" w:hRule="atLeast"/>
        </w:trPr>
        <w:tc>
          <w:tcPr>
            <w:tcW w:type="dxa" w:w="1325"/>
            <w:tcMar>
              <w:top w:type="dxa" w:w="60"/>
              <w:left w:type="dxa" w:w="100"/>
              <w:bottom w:type="dxa" w:w="60"/>
              <w:right w:type="dxa" w:w="100"/>
            </w:tcMar>
            <w:vAlign w:val="top"/>
          </w:tcPr>
          <w:p>
            <w:pPr>
              <w:spacing w:after="0" w:before="0" w:line="252"/>
            </w:pPr>
          </w:p>
        </w:tc>
        <w:tc>
          <w:tcPr>
            <w:tcW w:type="dxa" w:w="1334"/>
            <w:tcMar>
              <w:top w:type="dxa" w:w="60"/>
              <w:left w:type="dxa" w:w="100"/>
              <w:bottom w:type="dxa" w:w="60"/>
              <w:right w:type="dxa" w:w="100"/>
            </w:tcMar>
            <w:vAlign w:val="top"/>
          </w:tcPr>
          <w:p>
            <w:pPr>
              <w:spacing w:after="0" w:before="0" w:line="252"/>
            </w:pPr>
          </w:p>
        </w:tc>
        <w:tc>
          <w:tcPr>
            <w:tcW w:type="dxa" w:w="1530"/>
            <w:tcMar>
              <w:top w:type="dxa" w:w="60"/>
              <w:left w:type="dxa" w:w="100"/>
              <w:bottom w:type="dxa" w:w="60"/>
              <w:right w:type="dxa" w:w="100"/>
            </w:tcMar>
            <w:vAlign w:val="top"/>
          </w:tcPr>
          <w:p>
            <w:pPr>
              <w:spacing w:after="0" w:before="0" w:line="252"/>
            </w:pPr>
          </w:p>
        </w:tc>
        <w:tc>
          <w:tcPr>
            <w:tcW w:type="dxa" w:w="1920"/>
            <w:tcMar>
              <w:top w:type="dxa" w:w="60"/>
              <w:left w:type="dxa" w:w="100"/>
              <w:bottom w:type="dxa" w:w="60"/>
              <w:right w:type="dxa" w:w="100"/>
            </w:tcMar>
            <w:vAlign w:val="top"/>
          </w:tcPr>
          <w:p>
            <w:pPr>
              <w:spacing w:after="0" w:before="0" w:line="252"/>
            </w:pPr>
          </w:p>
        </w:tc>
        <w:tc>
          <w:tcPr>
            <w:tcW w:type="dxa" w:w="1576"/>
            <w:tcMar>
              <w:top w:type="dxa" w:w="60"/>
              <w:left w:type="dxa" w:w="100"/>
              <w:bottom w:type="dxa" w:w="60"/>
              <w:right w:type="dxa" w:w="100"/>
            </w:tcMar>
            <w:vAlign w:val="top"/>
          </w:tcPr>
          <w:p>
            <w:pPr>
              <w:spacing w:after="0" w:before="0" w:line="252"/>
            </w:pPr>
          </w:p>
        </w:tc>
        <w:tc>
          <w:tcPr>
            <w:tcW w:type="dxa" w:w="1675"/>
            <w:tcMar>
              <w:top w:type="dxa" w:w="60"/>
              <w:left w:type="dxa" w:w="100"/>
              <w:bottom w:type="dxa" w:w="60"/>
              <w:right w:type="dxa" w:w="100"/>
            </w:tcMar>
            <w:vAlign w:val="top"/>
          </w:tcPr>
          <w:p>
            <w:pPr>
              <w:spacing w:after="0" w:before="0" w:line="252"/>
            </w:pPr>
          </w:p>
        </w:tc>
      </w:tr>
      <w:tr>
        <w:trPr>
          <w:cantSplit/>
          <w:tblHeader w:val="false"/>
          <w:trHeight w:val="400" w:hRule="atLeast"/>
        </w:trPr>
        <w:tc>
          <w:tcPr>
            <w:tcW w:type="dxa" w:w="1325"/>
            <w:tcMar>
              <w:top w:type="dxa" w:w="60"/>
              <w:left w:type="dxa" w:w="100"/>
              <w:bottom w:type="dxa" w:w="60"/>
              <w:right w:type="dxa" w:w="100"/>
            </w:tcMar>
            <w:vAlign w:val="top"/>
          </w:tcPr>
          <w:p>
            <w:pPr>
              <w:spacing w:after="0" w:before="0" w:line="252"/>
            </w:pPr>
          </w:p>
        </w:tc>
        <w:tc>
          <w:tcPr>
            <w:tcW w:type="dxa" w:w="1334"/>
            <w:tcMar>
              <w:top w:type="dxa" w:w="60"/>
              <w:left w:type="dxa" w:w="100"/>
              <w:bottom w:type="dxa" w:w="60"/>
              <w:right w:type="dxa" w:w="100"/>
            </w:tcMar>
            <w:vAlign w:val="top"/>
          </w:tcPr>
          <w:p>
            <w:pPr>
              <w:spacing w:after="0" w:before="0" w:line="252"/>
            </w:pPr>
          </w:p>
        </w:tc>
        <w:tc>
          <w:tcPr>
            <w:tcW w:type="dxa" w:w="1530"/>
            <w:tcMar>
              <w:top w:type="dxa" w:w="60"/>
              <w:left w:type="dxa" w:w="100"/>
              <w:bottom w:type="dxa" w:w="60"/>
              <w:right w:type="dxa" w:w="100"/>
            </w:tcMar>
            <w:vAlign w:val="top"/>
          </w:tcPr>
          <w:p>
            <w:pPr>
              <w:spacing w:after="0" w:before="0" w:line="252"/>
            </w:pPr>
          </w:p>
        </w:tc>
        <w:tc>
          <w:tcPr>
            <w:tcW w:type="dxa" w:w="1920"/>
            <w:tcMar>
              <w:top w:type="dxa" w:w="60"/>
              <w:left w:type="dxa" w:w="100"/>
              <w:bottom w:type="dxa" w:w="60"/>
              <w:right w:type="dxa" w:w="100"/>
            </w:tcMar>
            <w:vAlign w:val="top"/>
          </w:tcPr>
          <w:p>
            <w:pPr>
              <w:spacing w:after="0" w:before="0" w:line="252"/>
            </w:pPr>
          </w:p>
        </w:tc>
        <w:tc>
          <w:tcPr>
            <w:tcW w:type="dxa" w:w="1576"/>
            <w:tcMar>
              <w:top w:type="dxa" w:w="60"/>
              <w:left w:type="dxa" w:w="100"/>
              <w:bottom w:type="dxa" w:w="60"/>
              <w:right w:type="dxa" w:w="100"/>
            </w:tcMar>
            <w:vAlign w:val="top"/>
          </w:tcPr>
          <w:p>
            <w:pPr>
              <w:spacing w:after="0" w:before="0" w:line="252"/>
            </w:pPr>
          </w:p>
        </w:tc>
        <w:tc>
          <w:tcPr>
            <w:tcW w:type="dxa" w:w="1675"/>
            <w:tcMar>
              <w:top w:type="dxa" w:w="60"/>
              <w:left w:type="dxa" w:w="100"/>
              <w:bottom w:type="dxa" w:w="60"/>
              <w:right w:type="dxa" w:w="100"/>
            </w:tcMar>
            <w:vAlign w:val="top"/>
          </w:tcPr>
          <w:p>
            <w:pPr>
              <w:spacing w:after="0" w:before="0" w:line="252"/>
            </w:pPr>
          </w:p>
        </w:tc>
      </w:tr>
      <w:tr>
        <w:trPr>
          <w:cantSplit/>
          <w:tblHeader w:val="false"/>
          <w:trHeight w:val="400" w:hRule="atLeast"/>
        </w:trPr>
        <w:tc>
          <w:tcPr>
            <w:tcW w:type="dxa" w:w="1325"/>
            <w:tcMar>
              <w:top w:type="dxa" w:w="60"/>
              <w:left w:type="dxa" w:w="100"/>
              <w:bottom w:type="dxa" w:w="60"/>
              <w:right w:type="dxa" w:w="100"/>
            </w:tcMar>
            <w:vAlign w:val="top"/>
          </w:tcPr>
          <w:p>
            <w:pPr>
              <w:spacing w:after="0" w:before="0" w:line="252"/>
            </w:pPr>
          </w:p>
        </w:tc>
        <w:tc>
          <w:tcPr>
            <w:tcW w:type="dxa" w:w="1334"/>
            <w:tcMar>
              <w:top w:type="dxa" w:w="60"/>
              <w:left w:type="dxa" w:w="100"/>
              <w:bottom w:type="dxa" w:w="60"/>
              <w:right w:type="dxa" w:w="100"/>
            </w:tcMar>
            <w:vAlign w:val="top"/>
          </w:tcPr>
          <w:p>
            <w:pPr>
              <w:spacing w:after="0" w:before="0" w:line="252"/>
            </w:pPr>
          </w:p>
        </w:tc>
        <w:tc>
          <w:tcPr>
            <w:tcW w:type="dxa" w:w="1530"/>
            <w:tcMar>
              <w:top w:type="dxa" w:w="60"/>
              <w:left w:type="dxa" w:w="100"/>
              <w:bottom w:type="dxa" w:w="60"/>
              <w:right w:type="dxa" w:w="100"/>
            </w:tcMar>
            <w:vAlign w:val="top"/>
          </w:tcPr>
          <w:p>
            <w:pPr>
              <w:spacing w:after="0" w:before="0" w:line="252"/>
            </w:pPr>
          </w:p>
        </w:tc>
        <w:tc>
          <w:tcPr>
            <w:tcW w:type="dxa" w:w="1920"/>
            <w:tcMar>
              <w:top w:type="dxa" w:w="60"/>
              <w:left w:type="dxa" w:w="100"/>
              <w:bottom w:type="dxa" w:w="60"/>
              <w:right w:type="dxa" w:w="100"/>
            </w:tcMar>
            <w:vAlign w:val="top"/>
          </w:tcPr>
          <w:p>
            <w:pPr>
              <w:spacing w:after="0" w:before="0" w:line="252"/>
            </w:pPr>
          </w:p>
        </w:tc>
        <w:tc>
          <w:tcPr>
            <w:tcW w:type="dxa" w:w="1576"/>
            <w:tcMar>
              <w:top w:type="dxa" w:w="60"/>
              <w:left w:type="dxa" w:w="100"/>
              <w:bottom w:type="dxa" w:w="60"/>
              <w:right w:type="dxa" w:w="100"/>
            </w:tcMar>
            <w:vAlign w:val="top"/>
          </w:tcPr>
          <w:p>
            <w:pPr>
              <w:spacing w:after="0" w:before="0" w:line="252"/>
            </w:pPr>
          </w:p>
        </w:tc>
        <w:tc>
          <w:tcPr>
            <w:tcW w:type="dxa" w:w="1675"/>
            <w:tcMar>
              <w:top w:type="dxa" w:w="60"/>
              <w:left w:type="dxa" w:w="100"/>
              <w:bottom w:type="dxa" w:w="60"/>
              <w:right w:type="dxa" w:w="100"/>
            </w:tcMar>
            <w:vAlign w:val="top"/>
          </w:tcPr>
          <w:p>
            <w:pPr>
              <w:spacing w:after="0" w:before="0" w:line="252"/>
            </w:pPr>
          </w:p>
        </w:tc>
      </w:tr>
    </w:tbl>
    <w:p>
      <w:pPr>
        <w:spacing w:after="120"/>
      </w:pPr>
    </w:p>
    <w:p>
      <w:pPr>
        <w:pStyle w:val="Heading3"/>
        <w:keepNext/>
      </w:pPr>
      <w:r>
        <w:rPr>
          <w:rFonts w:ascii="Calibri" w:cs="Calibri" w:eastAsia="Calibri" w:hAnsi="Calibri"/>
        </w:rPr>
        <w:t xml:space="preserve">T3e. Models</w:t>
      </w:r>
    </w:p>
    <w:tbl>
      <w:tblPr>
        <w:tblW w:type="dxa" w:w="9360"/>
        <w:tblBorders>
          <w:top w:val="single" w:color="CBD5E1" w:sz="4"/>
          <w:left w:val="single" w:color="CBD5E1" w:sz="4"/>
          <w:bottom w:val="single" w:color="CBD5E1" w:sz="4"/>
          <w:right w:val="single" w:color="CBD5E1" w:sz="4"/>
          <w:insideH w:val="single" w:color="CBD5E1" w:sz="4"/>
          <w:insideV w:val="single" w:color="CBD5E1" w:sz="4"/>
        </w:tblBorders>
        <w:tblLayout w:type="fixed"/>
      </w:tblPr>
      <w:tblGrid>
        <w:gridCol w:w="1691"/>
        <w:gridCol w:w="2202"/>
        <w:gridCol w:w="1691"/>
        <w:gridCol w:w="2011"/>
        <w:gridCol w:w="1765"/>
      </w:tblGrid>
      <w:tr>
        <w:trPr>
          <w:cantSplit/>
          <w:tblHeader/>
        </w:trPr>
        <w:tc>
          <w:tcPr>
            <w:tcW w:type="dxa" w:w="1691"/>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Model</w:t>
            </w:r>
          </w:p>
        </w:tc>
        <w:tc>
          <w:tcPr>
            <w:tcW w:type="dxa" w:w="2202"/>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Provider and hosting</w:t>
            </w:r>
          </w:p>
        </w:tc>
        <w:tc>
          <w:tcPr>
            <w:tcW w:type="dxa" w:w="1691"/>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Tasks</w:t>
            </w:r>
          </w:p>
        </w:tc>
        <w:tc>
          <w:tcPr>
            <w:tcW w:type="dxa" w:w="2011"/>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Data rules</w:t>
            </w:r>
          </w:p>
        </w:tc>
        <w:tc>
          <w:tcPr>
            <w:tcW w:type="dxa" w:w="1765"/>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Fallback</w:t>
            </w:r>
          </w:p>
        </w:tc>
      </w:tr>
      <w:tr>
        <w:trPr>
          <w:cantSplit/>
          <w:tblHeader w:val="false"/>
        </w:trPr>
        <w:tc>
          <w:tcPr>
            <w:tcW w:type="dxa" w:w="1691"/>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[Model]</w:t>
            </w:r>
          </w:p>
        </w:tc>
        <w:tc>
          <w:tcPr>
            <w:tcW w:type="dxa" w:w="2202"/>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[Provider; SaaS, VPC or on premises]</w:t>
            </w:r>
          </w:p>
        </w:tc>
        <w:tc>
          <w:tcPr>
            <w:tcW w:type="dxa" w:w="1691"/>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[Tasks]</w:t>
            </w:r>
          </w:p>
        </w:tc>
        <w:tc>
          <w:tcPr>
            <w:tcW w:type="dxa" w:w="2011"/>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[Retention, regions, masking]</w:t>
            </w:r>
          </w:p>
        </w:tc>
        <w:tc>
          <w:tcPr>
            <w:tcW w:type="dxa" w:w="1765"/>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[Fallback]</w:t>
            </w:r>
          </w:p>
        </w:tc>
      </w:tr>
      <w:tr>
        <w:trPr>
          <w:cantSplit/>
          <w:tblHeader w:val="false"/>
          <w:trHeight w:val="400" w:hRule="atLeast"/>
        </w:trPr>
        <w:tc>
          <w:tcPr>
            <w:tcW w:type="dxa" w:w="1691"/>
            <w:tcMar>
              <w:top w:type="dxa" w:w="60"/>
              <w:left w:type="dxa" w:w="100"/>
              <w:bottom w:type="dxa" w:w="60"/>
              <w:right w:type="dxa" w:w="100"/>
            </w:tcMar>
            <w:vAlign w:val="top"/>
          </w:tcPr>
          <w:p>
            <w:pPr>
              <w:spacing w:after="0" w:before="0" w:line="252"/>
            </w:pPr>
          </w:p>
        </w:tc>
        <w:tc>
          <w:tcPr>
            <w:tcW w:type="dxa" w:w="2202"/>
            <w:tcMar>
              <w:top w:type="dxa" w:w="60"/>
              <w:left w:type="dxa" w:w="100"/>
              <w:bottom w:type="dxa" w:w="60"/>
              <w:right w:type="dxa" w:w="100"/>
            </w:tcMar>
            <w:vAlign w:val="top"/>
          </w:tcPr>
          <w:p>
            <w:pPr>
              <w:spacing w:after="0" w:before="0" w:line="252"/>
            </w:pPr>
          </w:p>
        </w:tc>
        <w:tc>
          <w:tcPr>
            <w:tcW w:type="dxa" w:w="1691"/>
            <w:tcMar>
              <w:top w:type="dxa" w:w="60"/>
              <w:left w:type="dxa" w:w="100"/>
              <w:bottom w:type="dxa" w:w="60"/>
              <w:right w:type="dxa" w:w="100"/>
            </w:tcMar>
            <w:vAlign w:val="top"/>
          </w:tcPr>
          <w:p>
            <w:pPr>
              <w:spacing w:after="0" w:before="0" w:line="252"/>
            </w:pPr>
          </w:p>
        </w:tc>
        <w:tc>
          <w:tcPr>
            <w:tcW w:type="dxa" w:w="2011"/>
            <w:tcMar>
              <w:top w:type="dxa" w:w="60"/>
              <w:left w:type="dxa" w:w="100"/>
              <w:bottom w:type="dxa" w:w="60"/>
              <w:right w:type="dxa" w:w="100"/>
            </w:tcMar>
            <w:vAlign w:val="top"/>
          </w:tcPr>
          <w:p>
            <w:pPr>
              <w:spacing w:after="0" w:before="0" w:line="252"/>
            </w:pPr>
          </w:p>
        </w:tc>
        <w:tc>
          <w:tcPr>
            <w:tcW w:type="dxa" w:w="1765"/>
            <w:tcMar>
              <w:top w:type="dxa" w:w="60"/>
              <w:left w:type="dxa" w:w="100"/>
              <w:bottom w:type="dxa" w:w="60"/>
              <w:right w:type="dxa" w:w="100"/>
            </w:tcMar>
            <w:vAlign w:val="top"/>
          </w:tcPr>
          <w:p>
            <w:pPr>
              <w:spacing w:after="0" w:before="0" w:line="252"/>
            </w:pPr>
          </w:p>
        </w:tc>
      </w:tr>
      <w:tr>
        <w:trPr>
          <w:cantSplit/>
          <w:tblHeader w:val="false"/>
          <w:trHeight w:val="400" w:hRule="atLeast"/>
        </w:trPr>
        <w:tc>
          <w:tcPr>
            <w:tcW w:type="dxa" w:w="1691"/>
            <w:tcMar>
              <w:top w:type="dxa" w:w="60"/>
              <w:left w:type="dxa" w:w="100"/>
              <w:bottom w:type="dxa" w:w="60"/>
              <w:right w:type="dxa" w:w="100"/>
            </w:tcMar>
            <w:vAlign w:val="top"/>
          </w:tcPr>
          <w:p>
            <w:pPr>
              <w:spacing w:after="0" w:before="0" w:line="252"/>
            </w:pPr>
          </w:p>
        </w:tc>
        <w:tc>
          <w:tcPr>
            <w:tcW w:type="dxa" w:w="2202"/>
            <w:tcMar>
              <w:top w:type="dxa" w:w="60"/>
              <w:left w:type="dxa" w:w="100"/>
              <w:bottom w:type="dxa" w:w="60"/>
              <w:right w:type="dxa" w:w="100"/>
            </w:tcMar>
            <w:vAlign w:val="top"/>
          </w:tcPr>
          <w:p>
            <w:pPr>
              <w:spacing w:after="0" w:before="0" w:line="252"/>
            </w:pPr>
          </w:p>
        </w:tc>
        <w:tc>
          <w:tcPr>
            <w:tcW w:type="dxa" w:w="1691"/>
            <w:tcMar>
              <w:top w:type="dxa" w:w="60"/>
              <w:left w:type="dxa" w:w="100"/>
              <w:bottom w:type="dxa" w:w="60"/>
              <w:right w:type="dxa" w:w="100"/>
            </w:tcMar>
            <w:vAlign w:val="top"/>
          </w:tcPr>
          <w:p>
            <w:pPr>
              <w:spacing w:after="0" w:before="0" w:line="252"/>
            </w:pPr>
          </w:p>
        </w:tc>
        <w:tc>
          <w:tcPr>
            <w:tcW w:type="dxa" w:w="2011"/>
            <w:tcMar>
              <w:top w:type="dxa" w:w="60"/>
              <w:left w:type="dxa" w:w="100"/>
              <w:bottom w:type="dxa" w:w="60"/>
              <w:right w:type="dxa" w:w="100"/>
            </w:tcMar>
            <w:vAlign w:val="top"/>
          </w:tcPr>
          <w:p>
            <w:pPr>
              <w:spacing w:after="0" w:before="0" w:line="252"/>
            </w:pPr>
          </w:p>
        </w:tc>
        <w:tc>
          <w:tcPr>
            <w:tcW w:type="dxa" w:w="1765"/>
            <w:tcMar>
              <w:top w:type="dxa" w:w="60"/>
              <w:left w:type="dxa" w:w="100"/>
              <w:bottom w:type="dxa" w:w="60"/>
              <w:right w:type="dxa" w:w="100"/>
            </w:tcMar>
            <w:vAlign w:val="top"/>
          </w:tcPr>
          <w:p>
            <w:pPr>
              <w:spacing w:after="0" w:before="0" w:line="252"/>
            </w:pPr>
          </w:p>
        </w:tc>
      </w:tr>
      <w:tr>
        <w:trPr>
          <w:cantSplit/>
          <w:tblHeader w:val="false"/>
          <w:trHeight w:val="400" w:hRule="atLeast"/>
        </w:trPr>
        <w:tc>
          <w:tcPr>
            <w:tcW w:type="dxa" w:w="1691"/>
            <w:tcMar>
              <w:top w:type="dxa" w:w="60"/>
              <w:left w:type="dxa" w:w="100"/>
              <w:bottom w:type="dxa" w:w="60"/>
              <w:right w:type="dxa" w:w="100"/>
            </w:tcMar>
            <w:vAlign w:val="top"/>
          </w:tcPr>
          <w:p>
            <w:pPr>
              <w:spacing w:after="0" w:before="0" w:line="252"/>
            </w:pPr>
          </w:p>
        </w:tc>
        <w:tc>
          <w:tcPr>
            <w:tcW w:type="dxa" w:w="2202"/>
            <w:tcMar>
              <w:top w:type="dxa" w:w="60"/>
              <w:left w:type="dxa" w:w="100"/>
              <w:bottom w:type="dxa" w:w="60"/>
              <w:right w:type="dxa" w:w="100"/>
            </w:tcMar>
            <w:vAlign w:val="top"/>
          </w:tcPr>
          <w:p>
            <w:pPr>
              <w:spacing w:after="0" w:before="0" w:line="252"/>
            </w:pPr>
          </w:p>
        </w:tc>
        <w:tc>
          <w:tcPr>
            <w:tcW w:type="dxa" w:w="1691"/>
            <w:tcMar>
              <w:top w:type="dxa" w:w="60"/>
              <w:left w:type="dxa" w:w="100"/>
              <w:bottom w:type="dxa" w:w="60"/>
              <w:right w:type="dxa" w:w="100"/>
            </w:tcMar>
            <w:vAlign w:val="top"/>
          </w:tcPr>
          <w:p>
            <w:pPr>
              <w:spacing w:after="0" w:before="0" w:line="252"/>
            </w:pPr>
          </w:p>
        </w:tc>
        <w:tc>
          <w:tcPr>
            <w:tcW w:type="dxa" w:w="2011"/>
            <w:tcMar>
              <w:top w:type="dxa" w:w="60"/>
              <w:left w:type="dxa" w:w="100"/>
              <w:bottom w:type="dxa" w:w="60"/>
              <w:right w:type="dxa" w:w="100"/>
            </w:tcMar>
            <w:vAlign w:val="top"/>
          </w:tcPr>
          <w:p>
            <w:pPr>
              <w:spacing w:after="0" w:before="0" w:line="252"/>
            </w:pPr>
          </w:p>
        </w:tc>
        <w:tc>
          <w:tcPr>
            <w:tcW w:type="dxa" w:w="1765"/>
            <w:tcMar>
              <w:top w:type="dxa" w:w="60"/>
              <w:left w:type="dxa" w:w="100"/>
              <w:bottom w:type="dxa" w:w="60"/>
              <w:right w:type="dxa" w:w="100"/>
            </w:tcMar>
            <w:vAlign w:val="top"/>
          </w:tcPr>
          <w:p>
            <w:pPr>
              <w:spacing w:after="0" w:before="0" w:line="252"/>
            </w:pPr>
          </w:p>
        </w:tc>
      </w:tr>
    </w:tbl>
    <w:p>
      <w:pPr>
        <w:spacing w:after="120"/>
      </w:pPr>
    </w:p>
    <w:p>
      <w:pPr>
        <w:pStyle w:val="Heading3"/>
        <w:keepNext/>
      </w:pPr>
      <w:r>
        <w:rPr>
          <w:rFonts w:ascii="Calibri" w:cs="Calibri" w:eastAsia="Calibri" w:hAnsi="Calibri"/>
        </w:rPr>
        <w:t xml:space="preserve">T3f. Identities, users and channels</w:t>
      </w:r>
    </w:p>
    <w:tbl>
      <w:tblPr>
        <w:tblW w:type="dxa" w:w="9360"/>
        <w:tblBorders>
          <w:top w:val="single" w:color="CBD5E1" w:sz="4"/>
          <w:left w:val="single" w:color="CBD5E1" w:sz="4"/>
          <w:bottom w:val="single" w:color="CBD5E1" w:sz="4"/>
          <w:right w:val="single" w:color="CBD5E1" w:sz="4"/>
          <w:insideH w:val="single" w:color="CBD5E1" w:sz="4"/>
          <w:insideV w:val="single" w:color="CBD5E1" w:sz="4"/>
        </w:tblBorders>
        <w:tblLayout w:type="fixed"/>
      </w:tblPr>
      <w:tblGrid>
        <w:gridCol w:w="2280"/>
        <w:gridCol w:w="2133"/>
        <w:gridCol w:w="2381"/>
        <w:gridCol w:w="2566"/>
      </w:tblGrid>
      <w:tr>
        <w:trPr>
          <w:cantSplit/>
          <w:tblHeader/>
        </w:trPr>
        <w:tc>
          <w:tcPr>
            <w:tcW w:type="dxa" w:w="2280"/>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Actor</w:t>
            </w:r>
          </w:p>
        </w:tc>
        <w:tc>
          <w:tcPr>
            <w:tcW w:type="dxa" w:w="2133"/>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Channel</w:t>
            </w:r>
          </w:p>
        </w:tc>
        <w:tc>
          <w:tcPr>
            <w:tcW w:type="dxa" w:w="2381"/>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Authentication</w:t>
            </w:r>
          </w:p>
        </w:tc>
        <w:tc>
          <w:tcPr>
            <w:tcW w:type="dxa" w:w="2566"/>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Authority and approvals</w:t>
            </w:r>
          </w:p>
        </w:tc>
      </w:tr>
      <w:tr>
        <w:trPr>
          <w:cantSplit/>
          <w:tblHeader w:val="false"/>
        </w:trPr>
        <w:tc>
          <w:tcPr>
            <w:tcW w:type="dxa" w:w="2280"/>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[User group or agent]</w:t>
            </w:r>
          </w:p>
        </w:tc>
        <w:tc>
          <w:tcPr>
            <w:tcW w:type="dxa" w:w="2133"/>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[Channel]</w:t>
            </w:r>
          </w:p>
        </w:tc>
        <w:tc>
          <w:tcPr>
            <w:tcW w:type="dxa" w:w="2381"/>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[SSO, MFA, step-up]</w:t>
            </w:r>
          </w:p>
        </w:tc>
        <w:tc>
          <w:tcPr>
            <w:tcW w:type="dxa" w:w="2566"/>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[What they may approve]</w:t>
            </w:r>
          </w:p>
        </w:tc>
      </w:tr>
      <w:tr>
        <w:trPr>
          <w:cantSplit/>
          <w:tblHeader w:val="false"/>
          <w:trHeight w:val="400" w:hRule="atLeast"/>
        </w:trPr>
        <w:tc>
          <w:tcPr>
            <w:tcW w:type="dxa" w:w="2280"/>
            <w:tcMar>
              <w:top w:type="dxa" w:w="60"/>
              <w:left w:type="dxa" w:w="100"/>
              <w:bottom w:type="dxa" w:w="60"/>
              <w:right w:type="dxa" w:w="100"/>
            </w:tcMar>
            <w:vAlign w:val="top"/>
          </w:tcPr>
          <w:p>
            <w:pPr>
              <w:spacing w:after="0" w:before="0" w:line="252"/>
            </w:pPr>
          </w:p>
        </w:tc>
        <w:tc>
          <w:tcPr>
            <w:tcW w:type="dxa" w:w="2133"/>
            <w:tcMar>
              <w:top w:type="dxa" w:w="60"/>
              <w:left w:type="dxa" w:w="100"/>
              <w:bottom w:type="dxa" w:w="60"/>
              <w:right w:type="dxa" w:w="100"/>
            </w:tcMar>
            <w:vAlign w:val="top"/>
          </w:tcPr>
          <w:p>
            <w:pPr>
              <w:spacing w:after="0" w:before="0" w:line="252"/>
            </w:pPr>
          </w:p>
        </w:tc>
        <w:tc>
          <w:tcPr>
            <w:tcW w:type="dxa" w:w="2381"/>
            <w:tcMar>
              <w:top w:type="dxa" w:w="60"/>
              <w:left w:type="dxa" w:w="100"/>
              <w:bottom w:type="dxa" w:w="60"/>
              <w:right w:type="dxa" w:w="100"/>
            </w:tcMar>
            <w:vAlign w:val="top"/>
          </w:tcPr>
          <w:p>
            <w:pPr>
              <w:spacing w:after="0" w:before="0" w:line="252"/>
            </w:pPr>
          </w:p>
        </w:tc>
        <w:tc>
          <w:tcPr>
            <w:tcW w:type="dxa" w:w="2566"/>
            <w:tcMar>
              <w:top w:type="dxa" w:w="60"/>
              <w:left w:type="dxa" w:w="100"/>
              <w:bottom w:type="dxa" w:w="60"/>
              <w:right w:type="dxa" w:w="100"/>
            </w:tcMar>
            <w:vAlign w:val="top"/>
          </w:tcPr>
          <w:p>
            <w:pPr>
              <w:spacing w:after="0" w:before="0" w:line="252"/>
            </w:pPr>
          </w:p>
        </w:tc>
      </w:tr>
      <w:tr>
        <w:trPr>
          <w:cantSplit/>
          <w:tblHeader w:val="false"/>
          <w:trHeight w:val="400" w:hRule="atLeast"/>
        </w:trPr>
        <w:tc>
          <w:tcPr>
            <w:tcW w:type="dxa" w:w="2280"/>
            <w:tcMar>
              <w:top w:type="dxa" w:w="60"/>
              <w:left w:type="dxa" w:w="100"/>
              <w:bottom w:type="dxa" w:w="60"/>
              <w:right w:type="dxa" w:w="100"/>
            </w:tcMar>
            <w:vAlign w:val="top"/>
          </w:tcPr>
          <w:p>
            <w:pPr>
              <w:spacing w:after="0" w:before="0" w:line="252"/>
            </w:pPr>
          </w:p>
        </w:tc>
        <w:tc>
          <w:tcPr>
            <w:tcW w:type="dxa" w:w="2133"/>
            <w:tcMar>
              <w:top w:type="dxa" w:w="60"/>
              <w:left w:type="dxa" w:w="100"/>
              <w:bottom w:type="dxa" w:w="60"/>
              <w:right w:type="dxa" w:w="100"/>
            </w:tcMar>
            <w:vAlign w:val="top"/>
          </w:tcPr>
          <w:p>
            <w:pPr>
              <w:spacing w:after="0" w:before="0" w:line="252"/>
            </w:pPr>
          </w:p>
        </w:tc>
        <w:tc>
          <w:tcPr>
            <w:tcW w:type="dxa" w:w="2381"/>
            <w:tcMar>
              <w:top w:type="dxa" w:w="60"/>
              <w:left w:type="dxa" w:w="100"/>
              <w:bottom w:type="dxa" w:w="60"/>
              <w:right w:type="dxa" w:w="100"/>
            </w:tcMar>
            <w:vAlign w:val="top"/>
          </w:tcPr>
          <w:p>
            <w:pPr>
              <w:spacing w:after="0" w:before="0" w:line="252"/>
            </w:pPr>
          </w:p>
        </w:tc>
        <w:tc>
          <w:tcPr>
            <w:tcW w:type="dxa" w:w="2566"/>
            <w:tcMar>
              <w:top w:type="dxa" w:w="60"/>
              <w:left w:type="dxa" w:w="100"/>
              <w:bottom w:type="dxa" w:w="60"/>
              <w:right w:type="dxa" w:w="100"/>
            </w:tcMar>
            <w:vAlign w:val="top"/>
          </w:tcPr>
          <w:p>
            <w:pPr>
              <w:spacing w:after="0" w:before="0" w:line="252"/>
            </w:pPr>
          </w:p>
        </w:tc>
      </w:tr>
      <w:tr>
        <w:trPr>
          <w:cantSplit/>
          <w:tblHeader w:val="false"/>
          <w:trHeight w:val="400" w:hRule="atLeast"/>
        </w:trPr>
        <w:tc>
          <w:tcPr>
            <w:tcW w:type="dxa" w:w="2280"/>
            <w:tcMar>
              <w:top w:type="dxa" w:w="60"/>
              <w:left w:type="dxa" w:w="100"/>
              <w:bottom w:type="dxa" w:w="60"/>
              <w:right w:type="dxa" w:w="100"/>
            </w:tcMar>
            <w:vAlign w:val="top"/>
          </w:tcPr>
          <w:p>
            <w:pPr>
              <w:spacing w:after="0" w:before="0" w:line="252"/>
            </w:pPr>
          </w:p>
        </w:tc>
        <w:tc>
          <w:tcPr>
            <w:tcW w:type="dxa" w:w="2133"/>
            <w:tcMar>
              <w:top w:type="dxa" w:w="60"/>
              <w:left w:type="dxa" w:w="100"/>
              <w:bottom w:type="dxa" w:w="60"/>
              <w:right w:type="dxa" w:w="100"/>
            </w:tcMar>
            <w:vAlign w:val="top"/>
          </w:tcPr>
          <w:p>
            <w:pPr>
              <w:spacing w:after="0" w:before="0" w:line="252"/>
            </w:pPr>
          </w:p>
        </w:tc>
        <w:tc>
          <w:tcPr>
            <w:tcW w:type="dxa" w:w="2381"/>
            <w:tcMar>
              <w:top w:type="dxa" w:w="60"/>
              <w:left w:type="dxa" w:w="100"/>
              <w:bottom w:type="dxa" w:w="60"/>
              <w:right w:type="dxa" w:w="100"/>
            </w:tcMar>
            <w:vAlign w:val="top"/>
          </w:tcPr>
          <w:p>
            <w:pPr>
              <w:spacing w:after="0" w:before="0" w:line="252"/>
            </w:pPr>
          </w:p>
        </w:tc>
        <w:tc>
          <w:tcPr>
            <w:tcW w:type="dxa" w:w="2566"/>
            <w:tcMar>
              <w:top w:type="dxa" w:w="60"/>
              <w:left w:type="dxa" w:w="100"/>
              <w:bottom w:type="dxa" w:w="60"/>
              <w:right w:type="dxa" w:w="100"/>
            </w:tcMar>
            <w:vAlign w:val="top"/>
          </w:tcPr>
          <w:p>
            <w:pPr>
              <w:spacing w:after="0" w:before="0" w:line="252"/>
            </w:pPr>
          </w:p>
        </w:tc>
      </w:tr>
    </w:tbl>
    <w:p>
      <w:pPr>
        <w:spacing w:after="120"/>
      </w:pPr>
    </w:p>
    <w:p>
      <w:pPr>
        <w:pStyle w:val="Heading3"/>
        <w:keepNext/>
      </w:pPr>
      <w:r>
        <w:rPr>
          <w:rFonts w:ascii="Calibri" w:cs="Calibri" w:eastAsia="Calibri" w:hAnsi="Calibri"/>
        </w:rPr>
        <w:t xml:space="preserve">T3g. Policies and controls</w:t>
      </w:r>
    </w:p>
    <w:tbl>
      <w:tblPr>
        <w:tblW w:type="dxa" w:w="9360"/>
        <w:tblBorders>
          <w:top w:val="single" w:color="CBD5E1" w:sz="4"/>
          <w:left w:val="single" w:color="CBD5E1" w:sz="4"/>
          <w:bottom w:val="single" w:color="CBD5E1" w:sz="4"/>
          <w:right w:val="single" w:color="CBD5E1" w:sz="4"/>
          <w:insideH w:val="single" w:color="CBD5E1" w:sz="4"/>
          <w:insideV w:val="single" w:color="CBD5E1" w:sz="4"/>
        </w:tblBorders>
        <w:tblLayout w:type="fixed"/>
      </w:tblPr>
      <w:tblGrid>
        <w:gridCol w:w="1788"/>
        <w:gridCol w:w="1926"/>
        <w:gridCol w:w="1960"/>
        <w:gridCol w:w="2038"/>
        <w:gridCol w:w="1648"/>
      </w:tblGrid>
      <w:tr>
        <w:trPr>
          <w:cantSplit/>
          <w:tblHeader/>
        </w:trPr>
        <w:tc>
          <w:tcPr>
            <w:tcW w:type="dxa" w:w="1788"/>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Policy or control</w:t>
            </w:r>
          </w:p>
        </w:tc>
        <w:tc>
          <w:tcPr>
            <w:tcW w:type="dxa" w:w="1926"/>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Type</w:t>
            </w:r>
          </w:p>
        </w:tc>
        <w:tc>
          <w:tcPr>
            <w:tcW w:type="dxa" w:w="1960"/>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Enforced today</w:t>
            </w:r>
          </w:p>
        </w:tc>
        <w:tc>
          <w:tcPr>
            <w:tcW w:type="dxa" w:w="2038"/>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Target enforcement</w:t>
            </w:r>
          </w:p>
        </w:tc>
        <w:tc>
          <w:tcPr>
            <w:tcW w:type="dxa" w:w="1648"/>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Owner</w:t>
            </w:r>
          </w:p>
        </w:tc>
      </w:tr>
      <w:tr>
        <w:trPr>
          <w:cantSplit/>
          <w:tblHeader w:val="false"/>
        </w:trPr>
        <w:tc>
          <w:tcPr>
            <w:tcW w:type="dxa" w:w="1788"/>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[Rule]</w:t>
            </w:r>
          </w:p>
        </w:tc>
        <w:tc>
          <w:tcPr>
            <w:tcW w:type="dxa" w:w="1926"/>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[Gate, data, limit, regulatory]</w:t>
            </w:r>
          </w:p>
        </w:tc>
        <w:tc>
          <w:tcPr>
            <w:tcW w:type="dxa" w:w="1960"/>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[Where, or not enforced]</w:t>
            </w:r>
          </w:p>
        </w:tc>
        <w:tc>
          <w:tcPr>
            <w:tcW w:type="dxa" w:w="2038"/>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[Where it will be enforced]</w:t>
            </w:r>
          </w:p>
        </w:tc>
        <w:tc>
          <w:tcPr>
            <w:tcW w:type="dxa" w:w="1648"/>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[Team]</w:t>
            </w:r>
          </w:p>
        </w:tc>
      </w:tr>
      <w:tr>
        <w:trPr>
          <w:cantSplit/>
          <w:tblHeader w:val="false"/>
          <w:trHeight w:val="400" w:hRule="atLeast"/>
        </w:trPr>
        <w:tc>
          <w:tcPr>
            <w:tcW w:type="dxa" w:w="1788"/>
            <w:tcMar>
              <w:top w:type="dxa" w:w="60"/>
              <w:left w:type="dxa" w:w="100"/>
              <w:bottom w:type="dxa" w:w="60"/>
              <w:right w:type="dxa" w:w="100"/>
            </w:tcMar>
            <w:vAlign w:val="top"/>
          </w:tcPr>
          <w:p>
            <w:pPr>
              <w:spacing w:after="0" w:before="0" w:line="252"/>
            </w:pPr>
          </w:p>
        </w:tc>
        <w:tc>
          <w:tcPr>
            <w:tcW w:type="dxa" w:w="1926"/>
            <w:tcMar>
              <w:top w:type="dxa" w:w="60"/>
              <w:left w:type="dxa" w:w="100"/>
              <w:bottom w:type="dxa" w:w="60"/>
              <w:right w:type="dxa" w:w="100"/>
            </w:tcMar>
            <w:vAlign w:val="top"/>
          </w:tcPr>
          <w:p>
            <w:pPr>
              <w:spacing w:after="0" w:before="0" w:line="252"/>
            </w:pPr>
          </w:p>
        </w:tc>
        <w:tc>
          <w:tcPr>
            <w:tcW w:type="dxa" w:w="1960"/>
            <w:tcMar>
              <w:top w:type="dxa" w:w="60"/>
              <w:left w:type="dxa" w:w="100"/>
              <w:bottom w:type="dxa" w:w="60"/>
              <w:right w:type="dxa" w:w="100"/>
            </w:tcMar>
            <w:vAlign w:val="top"/>
          </w:tcPr>
          <w:p>
            <w:pPr>
              <w:spacing w:after="0" w:before="0" w:line="252"/>
            </w:pPr>
          </w:p>
        </w:tc>
        <w:tc>
          <w:tcPr>
            <w:tcW w:type="dxa" w:w="2038"/>
            <w:tcMar>
              <w:top w:type="dxa" w:w="60"/>
              <w:left w:type="dxa" w:w="100"/>
              <w:bottom w:type="dxa" w:w="60"/>
              <w:right w:type="dxa" w:w="100"/>
            </w:tcMar>
            <w:vAlign w:val="top"/>
          </w:tcPr>
          <w:p>
            <w:pPr>
              <w:spacing w:after="0" w:before="0" w:line="252"/>
            </w:pPr>
          </w:p>
        </w:tc>
        <w:tc>
          <w:tcPr>
            <w:tcW w:type="dxa" w:w="1648"/>
            <w:tcMar>
              <w:top w:type="dxa" w:w="60"/>
              <w:left w:type="dxa" w:w="100"/>
              <w:bottom w:type="dxa" w:w="60"/>
              <w:right w:type="dxa" w:w="100"/>
            </w:tcMar>
            <w:vAlign w:val="top"/>
          </w:tcPr>
          <w:p>
            <w:pPr>
              <w:spacing w:after="0" w:before="0" w:line="252"/>
            </w:pPr>
          </w:p>
        </w:tc>
      </w:tr>
      <w:tr>
        <w:trPr>
          <w:cantSplit/>
          <w:tblHeader w:val="false"/>
          <w:trHeight w:val="400" w:hRule="atLeast"/>
        </w:trPr>
        <w:tc>
          <w:tcPr>
            <w:tcW w:type="dxa" w:w="1788"/>
            <w:tcMar>
              <w:top w:type="dxa" w:w="60"/>
              <w:left w:type="dxa" w:w="100"/>
              <w:bottom w:type="dxa" w:w="60"/>
              <w:right w:type="dxa" w:w="100"/>
            </w:tcMar>
            <w:vAlign w:val="top"/>
          </w:tcPr>
          <w:p>
            <w:pPr>
              <w:spacing w:after="0" w:before="0" w:line="252"/>
            </w:pPr>
          </w:p>
        </w:tc>
        <w:tc>
          <w:tcPr>
            <w:tcW w:type="dxa" w:w="1926"/>
            <w:tcMar>
              <w:top w:type="dxa" w:w="60"/>
              <w:left w:type="dxa" w:w="100"/>
              <w:bottom w:type="dxa" w:w="60"/>
              <w:right w:type="dxa" w:w="100"/>
            </w:tcMar>
            <w:vAlign w:val="top"/>
          </w:tcPr>
          <w:p>
            <w:pPr>
              <w:spacing w:after="0" w:before="0" w:line="252"/>
            </w:pPr>
          </w:p>
        </w:tc>
        <w:tc>
          <w:tcPr>
            <w:tcW w:type="dxa" w:w="1960"/>
            <w:tcMar>
              <w:top w:type="dxa" w:w="60"/>
              <w:left w:type="dxa" w:w="100"/>
              <w:bottom w:type="dxa" w:w="60"/>
              <w:right w:type="dxa" w:w="100"/>
            </w:tcMar>
            <w:vAlign w:val="top"/>
          </w:tcPr>
          <w:p>
            <w:pPr>
              <w:spacing w:after="0" w:before="0" w:line="252"/>
            </w:pPr>
          </w:p>
        </w:tc>
        <w:tc>
          <w:tcPr>
            <w:tcW w:type="dxa" w:w="2038"/>
            <w:tcMar>
              <w:top w:type="dxa" w:w="60"/>
              <w:left w:type="dxa" w:w="100"/>
              <w:bottom w:type="dxa" w:w="60"/>
              <w:right w:type="dxa" w:w="100"/>
            </w:tcMar>
            <w:vAlign w:val="top"/>
          </w:tcPr>
          <w:p>
            <w:pPr>
              <w:spacing w:after="0" w:before="0" w:line="252"/>
            </w:pPr>
          </w:p>
        </w:tc>
        <w:tc>
          <w:tcPr>
            <w:tcW w:type="dxa" w:w="1648"/>
            <w:tcMar>
              <w:top w:type="dxa" w:w="60"/>
              <w:left w:type="dxa" w:w="100"/>
              <w:bottom w:type="dxa" w:w="60"/>
              <w:right w:type="dxa" w:w="100"/>
            </w:tcMar>
            <w:vAlign w:val="top"/>
          </w:tcPr>
          <w:p>
            <w:pPr>
              <w:spacing w:after="0" w:before="0" w:line="252"/>
            </w:pPr>
          </w:p>
        </w:tc>
      </w:tr>
      <w:tr>
        <w:trPr>
          <w:cantSplit/>
          <w:tblHeader w:val="false"/>
          <w:trHeight w:val="400" w:hRule="atLeast"/>
        </w:trPr>
        <w:tc>
          <w:tcPr>
            <w:tcW w:type="dxa" w:w="1788"/>
            <w:tcMar>
              <w:top w:type="dxa" w:w="60"/>
              <w:left w:type="dxa" w:w="100"/>
              <w:bottom w:type="dxa" w:w="60"/>
              <w:right w:type="dxa" w:w="100"/>
            </w:tcMar>
            <w:vAlign w:val="top"/>
          </w:tcPr>
          <w:p>
            <w:pPr>
              <w:spacing w:after="0" w:before="0" w:line="252"/>
            </w:pPr>
          </w:p>
        </w:tc>
        <w:tc>
          <w:tcPr>
            <w:tcW w:type="dxa" w:w="1926"/>
            <w:tcMar>
              <w:top w:type="dxa" w:w="60"/>
              <w:left w:type="dxa" w:w="100"/>
              <w:bottom w:type="dxa" w:w="60"/>
              <w:right w:type="dxa" w:w="100"/>
            </w:tcMar>
            <w:vAlign w:val="top"/>
          </w:tcPr>
          <w:p>
            <w:pPr>
              <w:spacing w:after="0" w:before="0" w:line="252"/>
            </w:pPr>
          </w:p>
        </w:tc>
        <w:tc>
          <w:tcPr>
            <w:tcW w:type="dxa" w:w="1960"/>
            <w:tcMar>
              <w:top w:type="dxa" w:w="60"/>
              <w:left w:type="dxa" w:w="100"/>
              <w:bottom w:type="dxa" w:w="60"/>
              <w:right w:type="dxa" w:w="100"/>
            </w:tcMar>
            <w:vAlign w:val="top"/>
          </w:tcPr>
          <w:p>
            <w:pPr>
              <w:spacing w:after="0" w:before="0" w:line="252"/>
            </w:pPr>
          </w:p>
        </w:tc>
        <w:tc>
          <w:tcPr>
            <w:tcW w:type="dxa" w:w="2038"/>
            <w:tcMar>
              <w:top w:type="dxa" w:w="60"/>
              <w:left w:type="dxa" w:w="100"/>
              <w:bottom w:type="dxa" w:w="60"/>
              <w:right w:type="dxa" w:w="100"/>
            </w:tcMar>
            <w:vAlign w:val="top"/>
          </w:tcPr>
          <w:p>
            <w:pPr>
              <w:spacing w:after="0" w:before="0" w:line="252"/>
            </w:pPr>
          </w:p>
        </w:tc>
        <w:tc>
          <w:tcPr>
            <w:tcW w:type="dxa" w:w="1648"/>
            <w:tcMar>
              <w:top w:type="dxa" w:w="60"/>
              <w:left w:type="dxa" w:w="100"/>
              <w:bottom w:type="dxa" w:w="60"/>
              <w:right w:type="dxa" w:w="100"/>
            </w:tcMar>
            <w:vAlign w:val="top"/>
          </w:tcPr>
          <w:p>
            <w:pPr>
              <w:spacing w:after="0" w:before="0" w:line="252"/>
            </w:pPr>
          </w:p>
        </w:tc>
      </w:tr>
    </w:tbl>
    <w:p>
      <w:pPr>
        <w:spacing w:after="120"/>
      </w:pPr>
    </w:p>
    <w:p>
      <w:pPr>
        <w:pStyle w:val="Heading3"/>
        <w:keepNext/>
      </w:pPr>
      <w:r>
        <w:rPr>
          <w:rFonts w:ascii="Calibri" w:cs="Calibri" w:eastAsia="Calibri" w:hAnsi="Calibri"/>
        </w:rPr>
        <w:t xml:space="preserve">T3h. Infrastructure, runtime and observability</w:t>
      </w:r>
    </w:p>
    <w:tbl>
      <w:tblPr>
        <w:tblW w:type="dxa" w:w="9360"/>
        <w:tblBorders>
          <w:top w:val="single" w:color="CBD5E1" w:sz="4"/>
          <w:left w:val="single" w:color="CBD5E1" w:sz="4"/>
          <w:bottom w:val="single" w:color="CBD5E1" w:sz="4"/>
          <w:right w:val="single" w:color="CBD5E1" w:sz="4"/>
          <w:insideH w:val="single" w:color="CBD5E1" w:sz="4"/>
          <w:insideV w:val="single" w:color="CBD5E1" w:sz="4"/>
        </w:tblBorders>
        <w:tblLayout w:type="fixed"/>
      </w:tblPr>
      <w:tblGrid>
        <w:gridCol w:w="5098"/>
        <w:gridCol w:w="4262"/>
      </w:tblGrid>
      <w:tr>
        <w:trPr>
          <w:cantSplit/>
          <w:tblHeader/>
        </w:trPr>
        <w:tc>
          <w:tcPr>
            <w:tcW w:type="dxa" w:w="5098"/>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Component</w:t>
            </w:r>
          </w:p>
        </w:tc>
        <w:tc>
          <w:tcPr>
            <w:tcW w:type="dxa" w:w="4262"/>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Notes</w:t>
            </w:r>
          </w:p>
        </w:tc>
      </w:tr>
      <w:tr>
        <w:trPr>
          <w:cantSplit/>
          <w:tblHeader w:val="false"/>
        </w:trPr>
        <w:tc>
          <w:tcPr>
            <w:tcW w:type="dxa" w:w="5098"/>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[Environment, network zone, keys, logging, residency]</w:t>
            </w:r>
          </w:p>
        </w:tc>
        <w:tc>
          <w:tcPr>
            <w:tcW w:type="dxa" w:w="4262"/>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[Constraint or decision]</w:t>
            </w:r>
          </w:p>
        </w:tc>
      </w:tr>
      <w:tr>
        <w:trPr>
          <w:cantSplit/>
          <w:tblHeader w:val="false"/>
          <w:trHeight w:val="400" w:hRule="atLeast"/>
        </w:trPr>
        <w:tc>
          <w:tcPr>
            <w:tcW w:type="dxa" w:w="5098"/>
            <w:tcMar>
              <w:top w:type="dxa" w:w="60"/>
              <w:left w:type="dxa" w:w="100"/>
              <w:bottom w:type="dxa" w:w="60"/>
              <w:right w:type="dxa" w:w="100"/>
            </w:tcMar>
            <w:vAlign w:val="top"/>
          </w:tcPr>
          <w:p>
            <w:pPr>
              <w:spacing w:after="0" w:before="0" w:line="252"/>
            </w:pPr>
          </w:p>
        </w:tc>
        <w:tc>
          <w:tcPr>
            <w:tcW w:type="dxa" w:w="4262"/>
            <w:tcMar>
              <w:top w:type="dxa" w:w="60"/>
              <w:left w:type="dxa" w:w="100"/>
              <w:bottom w:type="dxa" w:w="60"/>
              <w:right w:type="dxa" w:w="100"/>
            </w:tcMar>
            <w:vAlign w:val="top"/>
          </w:tcPr>
          <w:p>
            <w:pPr>
              <w:spacing w:after="0" w:before="0" w:line="252"/>
            </w:pPr>
          </w:p>
        </w:tc>
      </w:tr>
      <w:tr>
        <w:trPr>
          <w:cantSplit/>
          <w:tblHeader w:val="false"/>
          <w:trHeight w:val="400" w:hRule="atLeast"/>
        </w:trPr>
        <w:tc>
          <w:tcPr>
            <w:tcW w:type="dxa" w:w="5098"/>
            <w:tcMar>
              <w:top w:type="dxa" w:w="60"/>
              <w:left w:type="dxa" w:w="100"/>
              <w:bottom w:type="dxa" w:w="60"/>
              <w:right w:type="dxa" w:w="100"/>
            </w:tcMar>
            <w:vAlign w:val="top"/>
          </w:tcPr>
          <w:p>
            <w:pPr>
              <w:spacing w:after="0" w:before="0" w:line="252"/>
            </w:pPr>
          </w:p>
        </w:tc>
        <w:tc>
          <w:tcPr>
            <w:tcW w:type="dxa" w:w="4262"/>
            <w:tcMar>
              <w:top w:type="dxa" w:w="60"/>
              <w:left w:type="dxa" w:w="100"/>
              <w:bottom w:type="dxa" w:w="60"/>
              <w:right w:type="dxa" w:w="100"/>
            </w:tcMar>
            <w:vAlign w:val="top"/>
          </w:tcPr>
          <w:p>
            <w:pPr>
              <w:spacing w:after="0" w:before="0" w:line="252"/>
            </w:pPr>
          </w:p>
        </w:tc>
      </w:tr>
      <w:tr>
        <w:trPr>
          <w:cantSplit/>
          <w:tblHeader w:val="false"/>
          <w:trHeight w:val="400" w:hRule="atLeast"/>
        </w:trPr>
        <w:tc>
          <w:tcPr>
            <w:tcW w:type="dxa" w:w="5098"/>
            <w:tcMar>
              <w:top w:type="dxa" w:w="60"/>
              <w:left w:type="dxa" w:w="100"/>
              <w:bottom w:type="dxa" w:w="60"/>
              <w:right w:type="dxa" w:w="100"/>
            </w:tcMar>
            <w:vAlign w:val="top"/>
          </w:tcPr>
          <w:p>
            <w:pPr>
              <w:spacing w:after="0" w:before="0" w:line="252"/>
            </w:pPr>
          </w:p>
        </w:tc>
        <w:tc>
          <w:tcPr>
            <w:tcW w:type="dxa" w:w="4262"/>
            <w:tcMar>
              <w:top w:type="dxa" w:w="60"/>
              <w:left w:type="dxa" w:w="100"/>
              <w:bottom w:type="dxa" w:w="60"/>
              <w:right w:type="dxa" w:w="100"/>
            </w:tcMar>
            <w:vAlign w:val="top"/>
          </w:tcPr>
          <w:p>
            <w:pPr>
              <w:spacing w:after="0" w:before="0" w:line="252"/>
            </w:pPr>
          </w:p>
        </w:tc>
      </w:tr>
    </w:tbl>
    <w:p>
      <w:pPr>
        <w:spacing w:after="120"/>
      </w:pPr>
    </w:p>
    <w:p>
      <w:pPr>
        <w:keepNext/>
        <w:spacing w:after="60" w:before="120" w:line="240" w:lineRule="auto"/>
        <w:jc w:val="center"/>
      </w:pPr>
      <w:r>
        <w:drawing>
          <wp:inline distT="0" distB="0" distL="0" distR="0">
            <wp:extent cx="5943600" cy="2362200"/>
            <wp:effectExtent t="0" r="0" b="0" l="0"/>
            <wp:docPr id="2" name="Figure 6" descr="Asset inventory template by layer" title="Fig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descr=""/>
                    <pic:cNvPicPr>
                      <a:picLocks noChangeAspect="1" noChangeArrowheads="1"/>
                    </pic:cNvPicPr>
                  </pic:nvPicPr>
                  <pic:blipFill>
                    <a:blip r:embed="rId12" cstate="none"/>
                    <a:srcRect/>
                    <a:stretch>
                      <a:fillRect/>
                    </a:stretch>
                  </pic:blipFill>
                  <pic:spPr bwMode="auto">
                    <a:xfrm>
                      <a:off x="0" y="0"/>
                      <a:ext cx="5943600" cy="2362200"/>
                    </a:xfrm>
                    <a:prstGeom prst="rect">
                      <a:avLst/>
                    </a:prstGeom>
                  </pic:spPr>
                </pic:pic>
              </a:graphicData>
            </a:graphic>
          </wp:inline>
        </w:drawing>
      </w:r>
    </w:p>
    <w:p>
      <w:pPr>
        <w:spacing w:after="240"/>
      </w:pPr>
      <w:r>
        <w:rPr>
          <w:rFonts w:ascii="Calibri" w:cs="Calibri" w:eastAsia="Calibri" w:hAnsi="Calibri"/>
          <w:i/>
          <w:iCs/>
          <w:color w:val="64748B"/>
          <w:sz w:val="18"/>
          <w:szCs w:val="18"/>
        </w:rPr>
        <w:t xml:space="preserve">Figure 6. Template: the asset inventory by layer, as it appears in Part 2 of the client deck.</w:t>
      </w:r>
    </w:p>
    <w:p>
      <w:pPr>
        <w:pStyle w:val="Heading2"/>
        <w:keepNext/>
        <w:pageBreakBefore/>
      </w:pPr>
      <w:bookmarkStart w:name="p1_T4" w:id="6"/>
      <w:r>
        <w:rPr>
          <w:rFonts w:ascii="Calibri" w:cs="Calibri" w:eastAsia="Calibri" w:hAnsi="Calibri"/>
        </w:rPr>
        <w:t xml:space="preserve">T4. Requirements register</w:t>
      </w:r>
      <w:bookmarkEnd w:id="6"/>
    </w:p>
    <w:tbl>
      <w:tblPr>
        <w:tblW w:type="dxa" w:w="9360"/>
        <w:tblBorders>
          <w:top w:val="single" w:color="B6D4EA" w:sz="4"/>
          <w:left w:val="single" w:color="B6D4EA" w:sz="4"/>
          <w:bottom w:val="single" w:color="B6D4EA" w:sz="4"/>
          <w:right w:val="single" w:color="B6D4EA" w:sz="4"/>
          <w:insideH w:val="single" w:color="B6D4EA" w:sz="4"/>
          <w:insideV w:val="single" w:color="B6D4EA" w:sz="4"/>
        </w:tblBorders>
        <w:tblLayout w:type="fixed"/>
      </w:tblPr>
      <w:tblGrid>
        <w:gridCol w:w="9360"/>
      </w:tblGrid>
      <w:tr>
        <w:trPr>
          <w:cantSplit/>
        </w:trPr>
        <w:tc>
          <w:tcPr>
            <w:tcW w:type="dxa" w:w="9360"/>
            <w:shd w:fill="EEF6FC" w:color="auto" w:val="clear"/>
            <w:tcMar>
              <w:top w:type="dxa" w:w="140"/>
              <w:left w:type="dxa" w:w="200"/>
              <w:bottom w:type="dxa" w:w="140"/>
              <w:right w:type="dxa" w:w="200"/>
            </w:tcMar>
          </w:tcPr>
          <w:p>
            <w:pPr>
              <w:spacing w:after="100"/>
            </w:pPr>
            <w:r>
              <w:rPr>
                <w:rFonts w:ascii="Calibri" w:cs="Calibri" w:eastAsia="Calibri" w:hAnsi="Calibri"/>
                <w:b/>
                <w:bCs/>
                <w:color w:val="0369A1"/>
                <w:sz w:val="22"/>
                <w:szCs w:val="22"/>
              </w:rPr>
              <w:t xml:space="preserve">How to use T4</w:t>
            </w:r>
          </w:p>
          <w:p>
            <w:pPr>
              <w:spacing w:after="80"/>
            </w:pPr>
            <w:r>
              <w:rPr>
                <w:rFonts w:ascii="Calibri" w:cs="Calibri" w:eastAsia="Calibri" w:hAnsi="Calibri"/>
                <w:b/>
                <w:bCs/>
                <w:sz w:val="20"/>
                <w:szCs w:val="20"/>
              </w:rPr>
              <w:t xml:space="preserve">Purpose.</w:t>
            </w:r>
            <w:r>
              <w:rPr>
                <w:rFonts w:ascii="Calibri" w:cs="Calibri" w:eastAsia="Calibri" w:hAnsi="Calibri"/>
                <w:sz w:val="20"/>
                <w:szCs w:val="20"/>
              </w:rPr>
              <w:t xml:space="preserve">  Record what the solution must do and the conditions it must meet, each traceable to a KPI and a phase.</w:t>
            </w:r>
          </w:p>
          <w:p>
            <w:pPr>
              <w:spacing w:after="80"/>
            </w:pPr>
            <w:r>
              <w:rPr>
                <w:rFonts w:ascii="Calibri" w:cs="Calibri" w:eastAsia="Calibri" w:hAnsi="Calibri"/>
                <w:b/>
                <w:bCs/>
                <w:sz w:val="20"/>
                <w:szCs w:val="20"/>
              </w:rPr>
              <w:t xml:space="preserve">When.</w:t>
            </w:r>
            <w:r>
              <w:rPr>
                <w:rFonts w:ascii="Calibri" w:cs="Calibri" w:eastAsia="Calibri" w:hAnsi="Calibri"/>
                <w:sz w:val="20"/>
                <w:szCs w:val="20"/>
              </w:rPr>
              <w:t xml:space="preserve">  Step 3 (define), refined in design.</w:t>
            </w:r>
          </w:p>
          <w:p>
            <w:pPr>
              <w:spacing w:after="80"/>
            </w:pPr>
            <w:r>
              <w:rPr>
                <w:rFonts w:ascii="Calibri" w:cs="Calibri" w:eastAsia="Calibri" w:hAnsi="Calibri"/>
                <w:b/>
                <w:bCs/>
                <w:sz w:val="20"/>
                <w:szCs w:val="20"/>
              </w:rPr>
              <w:t xml:space="preserve">Who.</w:t>
            </w:r>
            <w:r>
              <w:rPr>
                <w:rFonts w:ascii="Calibri" w:cs="Calibri" w:eastAsia="Calibri" w:hAnsi="Calibri"/>
                <w:sz w:val="20"/>
                <w:szCs w:val="20"/>
              </w:rPr>
              <w:t xml:space="preserve">  The lead architect, accepted by the business owner and the relevant client owners.</w:t>
            </w:r>
          </w:p>
          <w:p>
            <w:pPr>
              <w:spacing w:after="60" w:before="120"/>
            </w:pPr>
            <w:r>
              <w:rPr>
                <w:rFonts w:ascii="Calibri" w:cs="Calibri" w:eastAsia="Calibri" w:hAnsi="Calibri"/>
                <w:b/>
                <w:bCs/>
                <w:color w:val="1E293B"/>
                <w:sz w:val="20"/>
                <w:szCs w:val="20"/>
              </w:rPr>
              <w:t xml:space="preserve">How to fill it</w:t>
            </w:r>
          </w:p>
          <w:p>
            <w:pPr>
              <w:pStyle w:val="ListParagraph"/>
              <w:numPr>
                <w:ilvl w:val="0"/>
                <w:numId w:val="8"/>
              </w:numPr>
              <w:spacing w:after="60"/>
            </w:pPr>
            <w:r>
              <w:rPr>
                <w:rFonts w:ascii="Calibri" w:cs="Calibri" w:eastAsia="Calibri" w:hAnsi="Calibri"/>
                <w:sz w:val="20"/>
                <w:szCs w:val="20"/>
              </w:rPr>
              <w:t xml:space="preserve">Use the prefixes BR, FR, DR, IR, NFR, SR, CR and OR (</w:t>
            </w:r>
            <w:hyperlink w:history="1" r:id="rIddl2dnxnzdyhjrtpgsf5cu">
              <w:r>
                <w:rPr>
                  <w:rFonts w:ascii="Calibri" w:cs="Calibri" w:eastAsia="Calibri" w:hAnsi="Calibri"/>
                  <w:color w:val="0369A1"/>
                  <w:sz w:val="20"/>
                  <w:szCs w:val="20"/>
                  <w:u w:val="single"/>
                </w:rPr>
                <w:t xml:space="preserve">Section 4</w:t>
              </w:r>
            </w:hyperlink>
            <w:r>
              <w:rPr>
                <w:rFonts w:ascii="Calibri" w:cs="Calibri" w:eastAsia="Calibri" w:hAnsi="Calibri"/>
                <w:sz w:val="20"/>
                <w:szCs w:val="20"/>
              </w:rPr>
              <w:t xml:space="preserve">).</w:t>
            </w:r>
          </w:p>
          <w:p>
            <w:pPr>
              <w:pStyle w:val="ListParagraph"/>
              <w:numPr>
                <w:ilvl w:val="0"/>
                <w:numId w:val="8"/>
              </w:numPr>
              <w:spacing w:after="60"/>
            </w:pPr>
            <w:r>
              <w:rPr>
                <w:rFonts w:ascii="Calibri" w:cs="Calibri" w:eastAsia="Calibri" w:hAnsi="Calibri"/>
                <w:sz w:val="20"/>
                <w:szCs w:val="20"/>
              </w:rPr>
              <w:t xml:space="preserve">Write each requirement with a measurable acceptance test.</w:t>
            </w:r>
          </w:p>
          <w:p>
            <w:pPr>
              <w:pStyle w:val="ListParagraph"/>
              <w:numPr>
                <w:ilvl w:val="0"/>
                <w:numId w:val="8"/>
              </w:numPr>
              <w:spacing w:after="60"/>
            </w:pPr>
            <w:r>
              <w:rPr>
                <w:rFonts w:ascii="Calibri" w:cs="Calibri" w:eastAsia="Calibri" w:hAnsi="Calibri"/>
                <w:sz w:val="20"/>
                <w:szCs w:val="20"/>
              </w:rPr>
              <w:t xml:space="preserve">Set a priority (Must, Should, Could, Won’t) and the phase in which it must be met.</w:t>
            </w:r>
          </w:p>
          <w:p>
            <w:pPr>
              <w:pStyle w:val="ListParagraph"/>
              <w:numPr>
                <w:ilvl w:val="0"/>
                <w:numId w:val="8"/>
              </w:numPr>
              <w:spacing w:after="60"/>
            </w:pPr>
            <w:r>
              <w:rPr>
                <w:rFonts w:ascii="Calibri" w:cs="Calibri" w:eastAsia="Calibri" w:hAnsi="Calibri"/>
                <w:sz w:val="20"/>
                <w:szCs w:val="20"/>
              </w:rPr>
              <w:t xml:space="preserve">Link each requirement to the KPI it moves or protects.</w:t>
            </w:r>
          </w:p>
          <w:p>
            <w:pPr>
              <w:pStyle w:val="ListParagraph"/>
              <w:numPr>
                <w:ilvl w:val="0"/>
                <w:numId w:val="8"/>
              </w:numPr>
              <w:spacing w:after="60"/>
            </w:pPr>
            <w:r>
              <w:rPr>
                <w:rFonts w:ascii="Calibri" w:cs="Calibri" w:eastAsia="Calibri" w:hAnsi="Calibri"/>
                <w:sz w:val="20"/>
                <w:szCs w:val="20"/>
              </w:rPr>
              <w:t xml:space="preserve">Name an owner who can accept it.</w:t>
            </w:r>
          </w:p>
          <w:p>
            <w:pPr>
              <w:pStyle w:val="ListParagraph"/>
              <w:numPr>
                <w:ilvl w:val="0"/>
                <w:numId w:val="8"/>
              </w:numPr>
              <w:spacing w:after="60"/>
            </w:pPr>
            <w:r>
              <w:rPr>
                <w:rFonts w:ascii="Calibri" w:cs="Calibri" w:eastAsia="Calibri" w:hAnsi="Calibri"/>
                <w:sz w:val="20"/>
                <w:szCs w:val="20"/>
              </w:rPr>
              <w:t xml:space="preserve">Include the operational requirements the control plane needs: evaluation before promotion and on sampled production traces, cost attribution by owner and use case, and a takeover runbook for any agent at tier 3 or above (</w:t>
            </w:r>
            <w:hyperlink w:history="1" r:id="rIdh722zv4r6mw0skatc4f2b">
              <w:r>
                <w:rPr>
                  <w:rFonts w:ascii="Calibri" w:cs="Calibri" w:eastAsia="Calibri" w:hAnsi="Calibri"/>
                  <w:color w:val="0369A1"/>
                  <w:sz w:val="20"/>
                  <w:szCs w:val="20"/>
                  <w:u w:val="single"/>
                </w:rPr>
                <w:t xml:space="preserve">Section 4</w:t>
              </w:r>
            </w:hyperlink>
            <w:r>
              <w:rPr>
                <w:rFonts w:ascii="Calibri" w:cs="Calibri" w:eastAsia="Calibri" w:hAnsi="Calibri"/>
                <w:sz w:val="20"/>
                <w:szCs w:val="20"/>
              </w:rPr>
              <w:t xml:space="preserve">).</w:t>
            </w:r>
          </w:p>
          <w:p>
            <w:pPr>
              <w:spacing w:after="60" w:before="120"/>
            </w:pPr>
            <w:r>
              <w:rPr>
                <w:rFonts w:ascii="Calibri" w:cs="Calibri" w:eastAsia="Calibri" w:hAnsi="Calibri"/>
                <w:b/>
                <w:bCs/>
                <w:color w:val="1E293B"/>
                <w:sz w:val="20"/>
                <w:szCs w:val="20"/>
              </w:rPr>
              <w:t xml:space="preserve">Tips</w:t>
            </w:r>
          </w:p>
          <w:p>
            <w:pPr>
              <w:pStyle w:val="ListParagraph"/>
              <w:numPr>
                <w:ilvl w:val="0"/>
                <w:numId w:val="9"/>
              </w:numPr>
              <w:spacing w:after="60"/>
            </w:pPr>
            <w:r>
              <w:rPr>
                <w:rFonts w:ascii="Calibri" w:cs="Calibri" w:eastAsia="Calibri" w:hAnsi="Calibri"/>
                <w:sz w:val="20"/>
                <w:szCs w:val="20"/>
              </w:rPr>
              <w:t xml:space="preserve">A short register the client owns is more useful than a long one nobody reads. For one use case, 20 to 30 rows is typical.</w:t>
            </w:r>
          </w:p>
          <w:p>
            <w:pPr>
              <w:pStyle w:val="ListParagraph"/>
              <w:numPr>
                <w:ilvl w:val="0"/>
                <w:numId w:val="9"/>
              </w:numPr>
              <w:spacing w:after="60"/>
            </w:pPr>
            <w:r>
              <w:rPr>
                <w:rFonts w:ascii="Calibri" w:cs="Calibri" w:eastAsia="Calibri" w:hAnsi="Calibri"/>
                <w:sz w:val="20"/>
                <w:szCs w:val="20"/>
              </w:rPr>
              <w:t xml:space="preserve">Write identity requirements to the vendor-neutral checklist in </w:t>
            </w:r>
            <w:hyperlink w:history="1" r:id="rIddk4s82dnuowezshoq-hb0">
              <w:r>
                <w:rPr>
                  <w:rFonts w:ascii="Calibri" w:cs="Calibri" w:eastAsia="Calibri" w:hAnsi="Calibri"/>
                  <w:color w:val="0369A1"/>
                  <w:sz w:val="20"/>
                  <w:szCs w:val="20"/>
                  <w:u w:val="single"/>
                </w:rPr>
                <w:t xml:space="preserve">Section 4</w:t>
              </w:r>
            </w:hyperlink>
            <w:r>
              <w:rPr>
                <w:rFonts w:ascii="Calibri" w:cs="Calibri" w:eastAsia="Calibri" w:hAnsi="Calibri"/>
                <w:sz w:val="20"/>
                <w:szCs w:val="20"/>
              </w:rPr>
              <w:t xml:space="preserve">: a unique identity per agent, authority that narrows at each hop, no static keys and real-time revocation.</w:t>
            </w:r>
          </w:p>
          <w:p>
            <w:pPr>
              <w:pStyle w:val="ListParagraph"/>
              <w:numPr>
                <w:ilvl w:val="0"/>
                <w:numId w:val="9"/>
              </w:numPr>
              <w:spacing w:after="60"/>
            </w:pPr>
            <w:r>
              <w:rPr>
                <w:rFonts w:ascii="Calibri" w:cs="Calibri" w:eastAsia="Calibri" w:hAnsi="Calibri"/>
                <w:sz w:val="20"/>
                <w:szCs w:val="20"/>
              </w:rPr>
              <w:t xml:space="preserve">Fill the control-ID column only when compliance asks for it, from the crosswalk in </w:t>
            </w:r>
            <w:hyperlink w:history="1" r:id="rId25ga79_7o2b7y9ifq7oin">
              <w:r>
                <w:rPr>
                  <w:rFonts w:ascii="Calibri" w:cs="Calibri" w:eastAsia="Calibri" w:hAnsi="Calibri"/>
                  <w:color w:val="0369A1"/>
                  <w:sz w:val="20"/>
                  <w:szCs w:val="20"/>
                  <w:u w:val="single"/>
                </w:rPr>
                <w:t xml:space="preserve">Section 4</w:t>
              </w:r>
            </w:hyperlink>
            <w:r>
              <w:rPr>
                <w:rFonts w:ascii="Calibri" w:cs="Calibri" w:eastAsia="Calibri" w:hAnsi="Calibri"/>
                <w:sz w:val="20"/>
                <w:szCs w:val="20"/>
              </w:rPr>
              <w:t xml:space="preserve"> (ISO/IEC 42001, NIST AI RMF, EU AI Act).</w:t>
            </w:r>
          </w:p>
          <w:p>
            <w:pPr>
              <w:spacing w:after="80"/>
            </w:pPr>
            <w:r>
              <w:rPr>
                <w:rFonts w:ascii="Calibri" w:cs="Calibri" w:eastAsia="Calibri" w:hAnsi="Calibri"/>
                <w:b/>
                <w:bCs/>
                <w:sz w:val="20"/>
                <w:szCs w:val="20"/>
              </w:rPr>
              <w:t xml:space="preserve">Feeds.</w:t>
            </w:r>
            <w:r>
              <w:rPr>
                <w:rFonts w:ascii="Calibri" w:cs="Calibri" w:eastAsia="Calibri" w:hAnsi="Calibri"/>
                <w:sz w:val="20"/>
                <w:szCs w:val="20"/>
              </w:rPr>
              <w:t xml:space="preserve">  Client deck: Requirements. Client report: section 5 and the appendix.</w:t>
            </w:r>
          </w:p>
        </w:tc>
      </w:tr>
    </w:tbl>
    <w:p>
      <w:pPr>
        <w:spacing w:after="120"/>
      </w:pPr>
    </w:p>
    <w:tbl>
      <w:tblPr>
        <w:tblW w:type="dxa" w:w="9360"/>
        <w:tblBorders>
          <w:top w:val="single" w:color="CBD5E1" w:sz="4"/>
          <w:left w:val="single" w:color="CBD5E1" w:sz="4"/>
          <w:bottom w:val="single" w:color="CBD5E1" w:sz="4"/>
          <w:right w:val="single" w:color="CBD5E1" w:sz="4"/>
          <w:insideH w:val="single" w:color="CBD5E1" w:sz="4"/>
          <w:insideV w:val="single" w:color="CBD5E1" w:sz="4"/>
        </w:tblBorders>
        <w:tblLayout w:type="fixed"/>
      </w:tblPr>
      <w:tblGrid>
        <w:gridCol w:w="1100"/>
        <w:gridCol w:w="1105"/>
        <w:gridCol w:w="1540"/>
        <w:gridCol w:w="1136"/>
        <w:gridCol w:w="1094"/>
        <w:gridCol w:w="1105"/>
        <w:gridCol w:w="1116"/>
        <w:gridCol w:w="1164"/>
      </w:tblGrid>
      <w:tr>
        <w:trPr>
          <w:cantSplit/>
          <w:tblHeader/>
        </w:trPr>
        <w:tc>
          <w:tcPr>
            <w:tcW w:type="dxa" w:w="1100"/>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ID</w:t>
            </w:r>
          </w:p>
        </w:tc>
        <w:tc>
          <w:tcPr>
            <w:tcW w:type="dxa" w:w="1105"/>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Type</w:t>
            </w:r>
          </w:p>
        </w:tc>
        <w:tc>
          <w:tcPr>
            <w:tcW w:type="dxa" w:w="1540"/>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Requirement and acceptance test</w:t>
            </w:r>
          </w:p>
        </w:tc>
        <w:tc>
          <w:tcPr>
            <w:tcW w:type="dxa" w:w="1136"/>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Priority</w:t>
            </w:r>
          </w:p>
        </w:tc>
        <w:tc>
          <w:tcPr>
            <w:tcW w:type="dxa" w:w="1094"/>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KPI</w:t>
            </w:r>
          </w:p>
        </w:tc>
        <w:tc>
          <w:tcPr>
            <w:tcW w:type="dxa" w:w="1105"/>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Phase</w:t>
            </w:r>
          </w:p>
        </w:tc>
        <w:tc>
          <w:tcPr>
            <w:tcW w:type="dxa" w:w="1116"/>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Owner</w:t>
            </w:r>
          </w:p>
        </w:tc>
        <w:tc>
          <w:tcPr>
            <w:tcW w:type="dxa" w:w="1164"/>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Control ID</w:t>
            </w:r>
          </w:p>
        </w:tc>
      </w:tr>
      <w:tr>
        <w:trPr>
          <w:cantSplit/>
          <w:tblHeader w:val="false"/>
        </w:trPr>
        <w:tc>
          <w:tcPr>
            <w:tcW w:type="dxa" w:w="1100"/>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[BR-01]</w:t>
            </w:r>
          </w:p>
        </w:tc>
        <w:tc>
          <w:tcPr>
            <w:tcW w:type="dxa" w:w="1105"/>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[Type]</w:t>
            </w:r>
          </w:p>
        </w:tc>
        <w:tc>
          <w:tcPr>
            <w:tcW w:type="dxa" w:w="1540"/>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[Requirement; how it will be tested]</w:t>
            </w:r>
          </w:p>
        </w:tc>
        <w:tc>
          <w:tcPr>
            <w:tcW w:type="dxa" w:w="1136"/>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[Must]</w:t>
            </w:r>
          </w:p>
        </w:tc>
        <w:tc>
          <w:tcPr>
            <w:tcW w:type="dxa" w:w="1094"/>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[KPI]</w:t>
            </w:r>
          </w:p>
        </w:tc>
        <w:tc>
          <w:tcPr>
            <w:tcW w:type="dxa" w:w="1105"/>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[1–4]</w:t>
            </w:r>
          </w:p>
        </w:tc>
        <w:tc>
          <w:tcPr>
            <w:tcW w:type="dxa" w:w="1116"/>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[Owner]</w:t>
            </w:r>
          </w:p>
        </w:tc>
        <w:tc>
          <w:tcPr>
            <w:tcW w:type="dxa" w:w="1164"/>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[If asked]</w:t>
            </w:r>
          </w:p>
        </w:tc>
      </w:tr>
      <w:tr>
        <w:trPr>
          <w:cantSplit/>
          <w:tblHeader w:val="false"/>
          <w:trHeight w:val="400" w:hRule="atLeast"/>
        </w:trPr>
        <w:tc>
          <w:tcPr>
            <w:tcW w:type="dxa" w:w="1100"/>
            <w:tcMar>
              <w:top w:type="dxa" w:w="60"/>
              <w:left w:type="dxa" w:w="100"/>
              <w:bottom w:type="dxa" w:w="60"/>
              <w:right w:type="dxa" w:w="100"/>
            </w:tcMar>
            <w:vAlign w:val="top"/>
          </w:tcPr>
          <w:p>
            <w:pPr>
              <w:spacing w:after="0" w:before="0" w:line="252"/>
            </w:pPr>
          </w:p>
        </w:tc>
        <w:tc>
          <w:tcPr>
            <w:tcW w:type="dxa" w:w="1105"/>
            <w:tcMar>
              <w:top w:type="dxa" w:w="60"/>
              <w:left w:type="dxa" w:w="100"/>
              <w:bottom w:type="dxa" w:w="60"/>
              <w:right w:type="dxa" w:w="100"/>
            </w:tcMar>
            <w:vAlign w:val="top"/>
          </w:tcPr>
          <w:p>
            <w:pPr>
              <w:spacing w:after="0" w:before="0" w:line="252"/>
            </w:pPr>
          </w:p>
        </w:tc>
        <w:tc>
          <w:tcPr>
            <w:tcW w:type="dxa" w:w="1540"/>
            <w:tcMar>
              <w:top w:type="dxa" w:w="60"/>
              <w:left w:type="dxa" w:w="100"/>
              <w:bottom w:type="dxa" w:w="60"/>
              <w:right w:type="dxa" w:w="100"/>
            </w:tcMar>
            <w:vAlign w:val="top"/>
          </w:tcPr>
          <w:p>
            <w:pPr>
              <w:spacing w:after="0" w:before="0" w:line="252"/>
            </w:pPr>
          </w:p>
        </w:tc>
        <w:tc>
          <w:tcPr>
            <w:tcW w:type="dxa" w:w="1136"/>
            <w:tcMar>
              <w:top w:type="dxa" w:w="60"/>
              <w:left w:type="dxa" w:w="100"/>
              <w:bottom w:type="dxa" w:w="60"/>
              <w:right w:type="dxa" w:w="100"/>
            </w:tcMar>
            <w:vAlign w:val="top"/>
          </w:tcPr>
          <w:p>
            <w:pPr>
              <w:spacing w:after="0" w:before="0" w:line="252"/>
            </w:pPr>
          </w:p>
        </w:tc>
        <w:tc>
          <w:tcPr>
            <w:tcW w:type="dxa" w:w="1094"/>
            <w:tcMar>
              <w:top w:type="dxa" w:w="60"/>
              <w:left w:type="dxa" w:w="100"/>
              <w:bottom w:type="dxa" w:w="60"/>
              <w:right w:type="dxa" w:w="100"/>
            </w:tcMar>
            <w:vAlign w:val="top"/>
          </w:tcPr>
          <w:p>
            <w:pPr>
              <w:spacing w:after="0" w:before="0" w:line="252"/>
            </w:pPr>
          </w:p>
        </w:tc>
        <w:tc>
          <w:tcPr>
            <w:tcW w:type="dxa" w:w="1105"/>
            <w:tcMar>
              <w:top w:type="dxa" w:w="60"/>
              <w:left w:type="dxa" w:w="100"/>
              <w:bottom w:type="dxa" w:w="60"/>
              <w:right w:type="dxa" w:w="100"/>
            </w:tcMar>
            <w:vAlign w:val="top"/>
          </w:tcPr>
          <w:p>
            <w:pPr>
              <w:spacing w:after="0" w:before="0" w:line="252"/>
            </w:pPr>
          </w:p>
        </w:tc>
        <w:tc>
          <w:tcPr>
            <w:tcW w:type="dxa" w:w="1116"/>
            <w:tcMar>
              <w:top w:type="dxa" w:w="60"/>
              <w:left w:type="dxa" w:w="100"/>
              <w:bottom w:type="dxa" w:w="60"/>
              <w:right w:type="dxa" w:w="100"/>
            </w:tcMar>
            <w:vAlign w:val="top"/>
          </w:tcPr>
          <w:p>
            <w:pPr>
              <w:spacing w:after="0" w:before="0" w:line="252"/>
            </w:pPr>
          </w:p>
        </w:tc>
        <w:tc>
          <w:tcPr>
            <w:tcW w:type="dxa" w:w="1164"/>
            <w:tcMar>
              <w:top w:type="dxa" w:w="60"/>
              <w:left w:type="dxa" w:w="100"/>
              <w:bottom w:type="dxa" w:w="60"/>
              <w:right w:type="dxa" w:w="100"/>
            </w:tcMar>
            <w:vAlign w:val="top"/>
          </w:tcPr>
          <w:p>
            <w:pPr>
              <w:spacing w:after="0" w:before="0" w:line="252"/>
            </w:pPr>
          </w:p>
        </w:tc>
      </w:tr>
      <w:tr>
        <w:trPr>
          <w:cantSplit/>
          <w:tblHeader w:val="false"/>
          <w:trHeight w:val="400" w:hRule="atLeast"/>
        </w:trPr>
        <w:tc>
          <w:tcPr>
            <w:tcW w:type="dxa" w:w="1100"/>
            <w:tcMar>
              <w:top w:type="dxa" w:w="60"/>
              <w:left w:type="dxa" w:w="100"/>
              <w:bottom w:type="dxa" w:w="60"/>
              <w:right w:type="dxa" w:w="100"/>
            </w:tcMar>
            <w:vAlign w:val="top"/>
          </w:tcPr>
          <w:p>
            <w:pPr>
              <w:spacing w:after="0" w:before="0" w:line="252"/>
            </w:pPr>
          </w:p>
        </w:tc>
        <w:tc>
          <w:tcPr>
            <w:tcW w:type="dxa" w:w="1105"/>
            <w:tcMar>
              <w:top w:type="dxa" w:w="60"/>
              <w:left w:type="dxa" w:w="100"/>
              <w:bottom w:type="dxa" w:w="60"/>
              <w:right w:type="dxa" w:w="100"/>
            </w:tcMar>
            <w:vAlign w:val="top"/>
          </w:tcPr>
          <w:p>
            <w:pPr>
              <w:spacing w:after="0" w:before="0" w:line="252"/>
            </w:pPr>
          </w:p>
        </w:tc>
        <w:tc>
          <w:tcPr>
            <w:tcW w:type="dxa" w:w="1540"/>
            <w:tcMar>
              <w:top w:type="dxa" w:w="60"/>
              <w:left w:type="dxa" w:w="100"/>
              <w:bottom w:type="dxa" w:w="60"/>
              <w:right w:type="dxa" w:w="100"/>
            </w:tcMar>
            <w:vAlign w:val="top"/>
          </w:tcPr>
          <w:p>
            <w:pPr>
              <w:spacing w:after="0" w:before="0" w:line="252"/>
            </w:pPr>
          </w:p>
        </w:tc>
        <w:tc>
          <w:tcPr>
            <w:tcW w:type="dxa" w:w="1136"/>
            <w:tcMar>
              <w:top w:type="dxa" w:w="60"/>
              <w:left w:type="dxa" w:w="100"/>
              <w:bottom w:type="dxa" w:w="60"/>
              <w:right w:type="dxa" w:w="100"/>
            </w:tcMar>
            <w:vAlign w:val="top"/>
          </w:tcPr>
          <w:p>
            <w:pPr>
              <w:spacing w:after="0" w:before="0" w:line="252"/>
            </w:pPr>
          </w:p>
        </w:tc>
        <w:tc>
          <w:tcPr>
            <w:tcW w:type="dxa" w:w="1094"/>
            <w:tcMar>
              <w:top w:type="dxa" w:w="60"/>
              <w:left w:type="dxa" w:w="100"/>
              <w:bottom w:type="dxa" w:w="60"/>
              <w:right w:type="dxa" w:w="100"/>
            </w:tcMar>
            <w:vAlign w:val="top"/>
          </w:tcPr>
          <w:p>
            <w:pPr>
              <w:spacing w:after="0" w:before="0" w:line="252"/>
            </w:pPr>
          </w:p>
        </w:tc>
        <w:tc>
          <w:tcPr>
            <w:tcW w:type="dxa" w:w="1105"/>
            <w:tcMar>
              <w:top w:type="dxa" w:w="60"/>
              <w:left w:type="dxa" w:w="100"/>
              <w:bottom w:type="dxa" w:w="60"/>
              <w:right w:type="dxa" w:w="100"/>
            </w:tcMar>
            <w:vAlign w:val="top"/>
          </w:tcPr>
          <w:p>
            <w:pPr>
              <w:spacing w:after="0" w:before="0" w:line="252"/>
            </w:pPr>
          </w:p>
        </w:tc>
        <w:tc>
          <w:tcPr>
            <w:tcW w:type="dxa" w:w="1116"/>
            <w:tcMar>
              <w:top w:type="dxa" w:w="60"/>
              <w:left w:type="dxa" w:w="100"/>
              <w:bottom w:type="dxa" w:w="60"/>
              <w:right w:type="dxa" w:w="100"/>
            </w:tcMar>
            <w:vAlign w:val="top"/>
          </w:tcPr>
          <w:p>
            <w:pPr>
              <w:spacing w:after="0" w:before="0" w:line="252"/>
            </w:pPr>
          </w:p>
        </w:tc>
        <w:tc>
          <w:tcPr>
            <w:tcW w:type="dxa" w:w="1164"/>
            <w:tcMar>
              <w:top w:type="dxa" w:w="60"/>
              <w:left w:type="dxa" w:w="100"/>
              <w:bottom w:type="dxa" w:w="60"/>
              <w:right w:type="dxa" w:w="100"/>
            </w:tcMar>
            <w:vAlign w:val="top"/>
          </w:tcPr>
          <w:p>
            <w:pPr>
              <w:spacing w:after="0" w:before="0" w:line="252"/>
            </w:pPr>
          </w:p>
        </w:tc>
      </w:tr>
      <w:tr>
        <w:trPr>
          <w:cantSplit/>
          <w:tblHeader w:val="false"/>
          <w:trHeight w:val="400" w:hRule="atLeast"/>
        </w:trPr>
        <w:tc>
          <w:tcPr>
            <w:tcW w:type="dxa" w:w="1100"/>
            <w:tcMar>
              <w:top w:type="dxa" w:w="60"/>
              <w:left w:type="dxa" w:w="100"/>
              <w:bottom w:type="dxa" w:w="60"/>
              <w:right w:type="dxa" w:w="100"/>
            </w:tcMar>
            <w:vAlign w:val="top"/>
          </w:tcPr>
          <w:p>
            <w:pPr>
              <w:spacing w:after="0" w:before="0" w:line="252"/>
            </w:pPr>
          </w:p>
        </w:tc>
        <w:tc>
          <w:tcPr>
            <w:tcW w:type="dxa" w:w="1105"/>
            <w:tcMar>
              <w:top w:type="dxa" w:w="60"/>
              <w:left w:type="dxa" w:w="100"/>
              <w:bottom w:type="dxa" w:w="60"/>
              <w:right w:type="dxa" w:w="100"/>
            </w:tcMar>
            <w:vAlign w:val="top"/>
          </w:tcPr>
          <w:p>
            <w:pPr>
              <w:spacing w:after="0" w:before="0" w:line="252"/>
            </w:pPr>
          </w:p>
        </w:tc>
        <w:tc>
          <w:tcPr>
            <w:tcW w:type="dxa" w:w="1540"/>
            <w:tcMar>
              <w:top w:type="dxa" w:w="60"/>
              <w:left w:type="dxa" w:w="100"/>
              <w:bottom w:type="dxa" w:w="60"/>
              <w:right w:type="dxa" w:w="100"/>
            </w:tcMar>
            <w:vAlign w:val="top"/>
          </w:tcPr>
          <w:p>
            <w:pPr>
              <w:spacing w:after="0" w:before="0" w:line="252"/>
            </w:pPr>
          </w:p>
        </w:tc>
        <w:tc>
          <w:tcPr>
            <w:tcW w:type="dxa" w:w="1136"/>
            <w:tcMar>
              <w:top w:type="dxa" w:w="60"/>
              <w:left w:type="dxa" w:w="100"/>
              <w:bottom w:type="dxa" w:w="60"/>
              <w:right w:type="dxa" w:w="100"/>
            </w:tcMar>
            <w:vAlign w:val="top"/>
          </w:tcPr>
          <w:p>
            <w:pPr>
              <w:spacing w:after="0" w:before="0" w:line="252"/>
            </w:pPr>
          </w:p>
        </w:tc>
        <w:tc>
          <w:tcPr>
            <w:tcW w:type="dxa" w:w="1094"/>
            <w:tcMar>
              <w:top w:type="dxa" w:w="60"/>
              <w:left w:type="dxa" w:w="100"/>
              <w:bottom w:type="dxa" w:w="60"/>
              <w:right w:type="dxa" w:w="100"/>
            </w:tcMar>
            <w:vAlign w:val="top"/>
          </w:tcPr>
          <w:p>
            <w:pPr>
              <w:spacing w:after="0" w:before="0" w:line="252"/>
            </w:pPr>
          </w:p>
        </w:tc>
        <w:tc>
          <w:tcPr>
            <w:tcW w:type="dxa" w:w="1105"/>
            <w:tcMar>
              <w:top w:type="dxa" w:w="60"/>
              <w:left w:type="dxa" w:w="100"/>
              <w:bottom w:type="dxa" w:w="60"/>
              <w:right w:type="dxa" w:w="100"/>
            </w:tcMar>
            <w:vAlign w:val="top"/>
          </w:tcPr>
          <w:p>
            <w:pPr>
              <w:spacing w:after="0" w:before="0" w:line="252"/>
            </w:pPr>
          </w:p>
        </w:tc>
        <w:tc>
          <w:tcPr>
            <w:tcW w:type="dxa" w:w="1116"/>
            <w:tcMar>
              <w:top w:type="dxa" w:w="60"/>
              <w:left w:type="dxa" w:w="100"/>
              <w:bottom w:type="dxa" w:w="60"/>
              <w:right w:type="dxa" w:w="100"/>
            </w:tcMar>
            <w:vAlign w:val="top"/>
          </w:tcPr>
          <w:p>
            <w:pPr>
              <w:spacing w:after="0" w:before="0" w:line="252"/>
            </w:pPr>
          </w:p>
        </w:tc>
        <w:tc>
          <w:tcPr>
            <w:tcW w:type="dxa" w:w="1164"/>
            <w:tcMar>
              <w:top w:type="dxa" w:w="60"/>
              <w:left w:type="dxa" w:w="100"/>
              <w:bottom w:type="dxa" w:w="60"/>
              <w:right w:type="dxa" w:w="100"/>
            </w:tcMar>
            <w:vAlign w:val="top"/>
          </w:tcPr>
          <w:p>
            <w:pPr>
              <w:spacing w:after="0" w:before="0" w:line="252"/>
            </w:pPr>
          </w:p>
        </w:tc>
      </w:tr>
      <w:tr>
        <w:trPr>
          <w:cantSplit/>
          <w:tblHeader w:val="false"/>
          <w:trHeight w:val="400" w:hRule="atLeast"/>
        </w:trPr>
        <w:tc>
          <w:tcPr>
            <w:tcW w:type="dxa" w:w="1100"/>
            <w:tcMar>
              <w:top w:type="dxa" w:w="60"/>
              <w:left w:type="dxa" w:w="100"/>
              <w:bottom w:type="dxa" w:w="60"/>
              <w:right w:type="dxa" w:w="100"/>
            </w:tcMar>
            <w:vAlign w:val="top"/>
          </w:tcPr>
          <w:p>
            <w:pPr>
              <w:spacing w:after="0" w:before="0" w:line="252"/>
            </w:pPr>
          </w:p>
        </w:tc>
        <w:tc>
          <w:tcPr>
            <w:tcW w:type="dxa" w:w="1105"/>
            <w:tcMar>
              <w:top w:type="dxa" w:w="60"/>
              <w:left w:type="dxa" w:w="100"/>
              <w:bottom w:type="dxa" w:w="60"/>
              <w:right w:type="dxa" w:w="100"/>
            </w:tcMar>
            <w:vAlign w:val="top"/>
          </w:tcPr>
          <w:p>
            <w:pPr>
              <w:spacing w:after="0" w:before="0" w:line="252"/>
            </w:pPr>
          </w:p>
        </w:tc>
        <w:tc>
          <w:tcPr>
            <w:tcW w:type="dxa" w:w="1540"/>
            <w:tcMar>
              <w:top w:type="dxa" w:w="60"/>
              <w:left w:type="dxa" w:w="100"/>
              <w:bottom w:type="dxa" w:w="60"/>
              <w:right w:type="dxa" w:w="100"/>
            </w:tcMar>
            <w:vAlign w:val="top"/>
          </w:tcPr>
          <w:p>
            <w:pPr>
              <w:spacing w:after="0" w:before="0" w:line="252"/>
            </w:pPr>
          </w:p>
        </w:tc>
        <w:tc>
          <w:tcPr>
            <w:tcW w:type="dxa" w:w="1136"/>
            <w:tcMar>
              <w:top w:type="dxa" w:w="60"/>
              <w:left w:type="dxa" w:w="100"/>
              <w:bottom w:type="dxa" w:w="60"/>
              <w:right w:type="dxa" w:w="100"/>
            </w:tcMar>
            <w:vAlign w:val="top"/>
          </w:tcPr>
          <w:p>
            <w:pPr>
              <w:spacing w:after="0" w:before="0" w:line="252"/>
            </w:pPr>
          </w:p>
        </w:tc>
        <w:tc>
          <w:tcPr>
            <w:tcW w:type="dxa" w:w="1094"/>
            <w:tcMar>
              <w:top w:type="dxa" w:w="60"/>
              <w:left w:type="dxa" w:w="100"/>
              <w:bottom w:type="dxa" w:w="60"/>
              <w:right w:type="dxa" w:w="100"/>
            </w:tcMar>
            <w:vAlign w:val="top"/>
          </w:tcPr>
          <w:p>
            <w:pPr>
              <w:spacing w:after="0" w:before="0" w:line="252"/>
            </w:pPr>
          </w:p>
        </w:tc>
        <w:tc>
          <w:tcPr>
            <w:tcW w:type="dxa" w:w="1105"/>
            <w:tcMar>
              <w:top w:type="dxa" w:w="60"/>
              <w:left w:type="dxa" w:w="100"/>
              <w:bottom w:type="dxa" w:w="60"/>
              <w:right w:type="dxa" w:w="100"/>
            </w:tcMar>
            <w:vAlign w:val="top"/>
          </w:tcPr>
          <w:p>
            <w:pPr>
              <w:spacing w:after="0" w:before="0" w:line="252"/>
            </w:pPr>
          </w:p>
        </w:tc>
        <w:tc>
          <w:tcPr>
            <w:tcW w:type="dxa" w:w="1116"/>
            <w:tcMar>
              <w:top w:type="dxa" w:w="60"/>
              <w:left w:type="dxa" w:w="100"/>
              <w:bottom w:type="dxa" w:w="60"/>
              <w:right w:type="dxa" w:w="100"/>
            </w:tcMar>
            <w:vAlign w:val="top"/>
          </w:tcPr>
          <w:p>
            <w:pPr>
              <w:spacing w:after="0" w:before="0" w:line="252"/>
            </w:pPr>
          </w:p>
        </w:tc>
        <w:tc>
          <w:tcPr>
            <w:tcW w:type="dxa" w:w="1164"/>
            <w:tcMar>
              <w:top w:type="dxa" w:w="60"/>
              <w:left w:type="dxa" w:w="100"/>
              <w:bottom w:type="dxa" w:w="60"/>
              <w:right w:type="dxa" w:w="100"/>
            </w:tcMar>
            <w:vAlign w:val="top"/>
          </w:tcPr>
          <w:p>
            <w:pPr>
              <w:spacing w:after="0" w:before="0" w:line="252"/>
            </w:pPr>
          </w:p>
        </w:tc>
      </w:tr>
      <w:tr>
        <w:trPr>
          <w:cantSplit/>
          <w:tblHeader w:val="false"/>
          <w:trHeight w:val="400" w:hRule="atLeast"/>
        </w:trPr>
        <w:tc>
          <w:tcPr>
            <w:tcW w:type="dxa" w:w="1100"/>
            <w:tcMar>
              <w:top w:type="dxa" w:w="60"/>
              <w:left w:type="dxa" w:w="100"/>
              <w:bottom w:type="dxa" w:w="60"/>
              <w:right w:type="dxa" w:w="100"/>
            </w:tcMar>
            <w:vAlign w:val="top"/>
          </w:tcPr>
          <w:p>
            <w:pPr>
              <w:spacing w:after="0" w:before="0" w:line="252"/>
            </w:pPr>
          </w:p>
        </w:tc>
        <w:tc>
          <w:tcPr>
            <w:tcW w:type="dxa" w:w="1105"/>
            <w:tcMar>
              <w:top w:type="dxa" w:w="60"/>
              <w:left w:type="dxa" w:w="100"/>
              <w:bottom w:type="dxa" w:w="60"/>
              <w:right w:type="dxa" w:w="100"/>
            </w:tcMar>
            <w:vAlign w:val="top"/>
          </w:tcPr>
          <w:p>
            <w:pPr>
              <w:spacing w:after="0" w:before="0" w:line="252"/>
            </w:pPr>
          </w:p>
        </w:tc>
        <w:tc>
          <w:tcPr>
            <w:tcW w:type="dxa" w:w="1540"/>
            <w:tcMar>
              <w:top w:type="dxa" w:w="60"/>
              <w:left w:type="dxa" w:w="100"/>
              <w:bottom w:type="dxa" w:w="60"/>
              <w:right w:type="dxa" w:w="100"/>
            </w:tcMar>
            <w:vAlign w:val="top"/>
          </w:tcPr>
          <w:p>
            <w:pPr>
              <w:spacing w:after="0" w:before="0" w:line="252"/>
            </w:pPr>
          </w:p>
        </w:tc>
        <w:tc>
          <w:tcPr>
            <w:tcW w:type="dxa" w:w="1136"/>
            <w:tcMar>
              <w:top w:type="dxa" w:w="60"/>
              <w:left w:type="dxa" w:w="100"/>
              <w:bottom w:type="dxa" w:w="60"/>
              <w:right w:type="dxa" w:w="100"/>
            </w:tcMar>
            <w:vAlign w:val="top"/>
          </w:tcPr>
          <w:p>
            <w:pPr>
              <w:spacing w:after="0" w:before="0" w:line="252"/>
            </w:pPr>
          </w:p>
        </w:tc>
        <w:tc>
          <w:tcPr>
            <w:tcW w:type="dxa" w:w="1094"/>
            <w:tcMar>
              <w:top w:type="dxa" w:w="60"/>
              <w:left w:type="dxa" w:w="100"/>
              <w:bottom w:type="dxa" w:w="60"/>
              <w:right w:type="dxa" w:w="100"/>
            </w:tcMar>
            <w:vAlign w:val="top"/>
          </w:tcPr>
          <w:p>
            <w:pPr>
              <w:spacing w:after="0" w:before="0" w:line="252"/>
            </w:pPr>
          </w:p>
        </w:tc>
        <w:tc>
          <w:tcPr>
            <w:tcW w:type="dxa" w:w="1105"/>
            <w:tcMar>
              <w:top w:type="dxa" w:w="60"/>
              <w:left w:type="dxa" w:w="100"/>
              <w:bottom w:type="dxa" w:w="60"/>
              <w:right w:type="dxa" w:w="100"/>
            </w:tcMar>
            <w:vAlign w:val="top"/>
          </w:tcPr>
          <w:p>
            <w:pPr>
              <w:spacing w:after="0" w:before="0" w:line="252"/>
            </w:pPr>
          </w:p>
        </w:tc>
        <w:tc>
          <w:tcPr>
            <w:tcW w:type="dxa" w:w="1116"/>
            <w:tcMar>
              <w:top w:type="dxa" w:w="60"/>
              <w:left w:type="dxa" w:w="100"/>
              <w:bottom w:type="dxa" w:w="60"/>
              <w:right w:type="dxa" w:w="100"/>
            </w:tcMar>
            <w:vAlign w:val="top"/>
          </w:tcPr>
          <w:p>
            <w:pPr>
              <w:spacing w:after="0" w:before="0" w:line="252"/>
            </w:pPr>
          </w:p>
        </w:tc>
        <w:tc>
          <w:tcPr>
            <w:tcW w:type="dxa" w:w="1164"/>
            <w:tcMar>
              <w:top w:type="dxa" w:w="60"/>
              <w:left w:type="dxa" w:w="100"/>
              <w:bottom w:type="dxa" w:w="60"/>
              <w:right w:type="dxa" w:w="100"/>
            </w:tcMar>
            <w:vAlign w:val="top"/>
          </w:tcPr>
          <w:p>
            <w:pPr>
              <w:spacing w:after="0" w:before="0" w:line="252"/>
            </w:pPr>
          </w:p>
        </w:tc>
      </w:tr>
    </w:tbl>
    <w:p>
      <w:pPr>
        <w:spacing w:after="120"/>
      </w:pPr>
    </w:p>
    <w:p>
      <w:pPr>
        <w:pStyle w:val="Heading2"/>
        <w:keepNext/>
        <w:pageBreakBefore/>
      </w:pPr>
      <w:bookmarkStart w:name="p1_T5" w:id="7"/>
      <w:r>
        <w:rPr>
          <w:rFonts w:ascii="Calibri" w:cs="Calibri" w:eastAsia="Calibri" w:hAnsi="Calibri"/>
        </w:rPr>
        <w:t xml:space="preserve">T5. Security and compliance requirements</w:t>
      </w:r>
      <w:bookmarkEnd w:id="7"/>
    </w:p>
    <w:tbl>
      <w:tblPr>
        <w:tblW w:type="dxa" w:w="9360"/>
        <w:tblBorders>
          <w:top w:val="single" w:color="B6D4EA" w:sz="4"/>
          <w:left w:val="single" w:color="B6D4EA" w:sz="4"/>
          <w:bottom w:val="single" w:color="B6D4EA" w:sz="4"/>
          <w:right w:val="single" w:color="B6D4EA" w:sz="4"/>
          <w:insideH w:val="single" w:color="B6D4EA" w:sz="4"/>
          <w:insideV w:val="single" w:color="B6D4EA" w:sz="4"/>
        </w:tblBorders>
        <w:tblLayout w:type="fixed"/>
      </w:tblPr>
      <w:tblGrid>
        <w:gridCol w:w="9360"/>
      </w:tblGrid>
      <w:tr>
        <w:trPr>
          <w:cantSplit/>
        </w:trPr>
        <w:tc>
          <w:tcPr>
            <w:tcW w:type="dxa" w:w="9360"/>
            <w:shd w:fill="EEF6FC" w:color="auto" w:val="clear"/>
            <w:tcMar>
              <w:top w:type="dxa" w:w="140"/>
              <w:left w:type="dxa" w:w="200"/>
              <w:bottom w:type="dxa" w:w="140"/>
              <w:right w:type="dxa" w:w="200"/>
            </w:tcMar>
          </w:tcPr>
          <w:p>
            <w:pPr>
              <w:spacing w:after="100"/>
            </w:pPr>
            <w:r>
              <w:rPr>
                <w:rFonts w:ascii="Calibri" w:cs="Calibri" w:eastAsia="Calibri" w:hAnsi="Calibri"/>
                <w:b/>
                <w:bCs/>
                <w:color w:val="0369A1"/>
                <w:sz w:val="22"/>
                <w:szCs w:val="22"/>
              </w:rPr>
              <w:t xml:space="preserve">How to use T5</w:t>
            </w:r>
          </w:p>
          <w:p>
            <w:pPr>
              <w:spacing w:after="80"/>
            </w:pPr>
            <w:r>
              <w:rPr>
                <w:rFonts w:ascii="Calibri" w:cs="Calibri" w:eastAsia="Calibri" w:hAnsi="Calibri"/>
                <w:b/>
                <w:bCs/>
                <w:sz w:val="20"/>
                <w:szCs w:val="20"/>
              </w:rPr>
              <w:t xml:space="preserve">Purpose.</w:t>
            </w:r>
            <w:r>
              <w:rPr>
                <w:rFonts w:ascii="Calibri" w:cs="Calibri" w:eastAsia="Calibri" w:hAnsi="Calibri"/>
                <w:sz w:val="20"/>
                <w:szCs w:val="20"/>
              </w:rPr>
              <w:t xml:space="preserve">  Set the controls for every layer, the autonomy tier for every agent and the evidence each obligation requires.</w:t>
            </w:r>
          </w:p>
          <w:p>
            <w:pPr>
              <w:spacing w:after="80"/>
            </w:pPr>
            <w:r>
              <w:rPr>
                <w:rFonts w:ascii="Calibri" w:cs="Calibri" w:eastAsia="Calibri" w:hAnsi="Calibri"/>
                <w:b/>
                <w:bCs/>
                <w:sz w:val="20"/>
                <w:szCs w:val="20"/>
              </w:rPr>
              <w:t xml:space="preserve">When.</w:t>
            </w:r>
            <w:r>
              <w:rPr>
                <w:rFonts w:ascii="Calibri" w:cs="Calibri" w:eastAsia="Calibri" w:hAnsi="Calibri"/>
                <w:sz w:val="20"/>
                <w:szCs w:val="20"/>
              </w:rPr>
              <w:t xml:space="preserve">  Step 3 (define), with the requirements and security workshop.</w:t>
            </w:r>
          </w:p>
          <w:p>
            <w:pPr>
              <w:spacing w:after="80"/>
            </w:pPr>
            <w:r>
              <w:rPr>
                <w:rFonts w:ascii="Calibri" w:cs="Calibri" w:eastAsia="Calibri" w:hAnsi="Calibri"/>
                <w:b/>
                <w:bCs/>
                <w:sz w:val="20"/>
                <w:szCs w:val="20"/>
              </w:rPr>
              <w:t xml:space="preserve">Who.</w:t>
            </w:r>
            <w:r>
              <w:rPr>
                <w:rFonts w:ascii="Calibri" w:cs="Calibri" w:eastAsia="Calibri" w:hAnsi="Calibri"/>
                <w:sz w:val="20"/>
                <w:szCs w:val="20"/>
              </w:rPr>
              <w:t xml:space="preserve">  The lead architect with the client’s CISO or security architect and risk and compliance.</w:t>
            </w:r>
          </w:p>
          <w:p>
            <w:pPr>
              <w:spacing w:after="60" w:before="120"/>
            </w:pPr>
            <w:r>
              <w:rPr>
                <w:rFonts w:ascii="Calibri" w:cs="Calibri" w:eastAsia="Calibri" w:hAnsi="Calibri"/>
                <w:b/>
                <w:bCs/>
                <w:color w:val="1E293B"/>
                <w:sz w:val="20"/>
                <w:szCs w:val="20"/>
              </w:rPr>
              <w:t xml:space="preserve">How to fill it</w:t>
            </w:r>
          </w:p>
          <w:p>
            <w:pPr>
              <w:pStyle w:val="ListParagraph"/>
              <w:numPr>
                <w:ilvl w:val="0"/>
                <w:numId w:val="10"/>
              </w:numPr>
              <w:spacing w:after="60"/>
            </w:pPr>
            <w:r>
              <w:rPr>
                <w:rFonts w:ascii="Calibri" w:cs="Calibri" w:eastAsia="Calibri" w:hAnsi="Calibri"/>
                <w:sz w:val="20"/>
                <w:szCs w:val="20"/>
              </w:rPr>
              <w:t xml:space="preserve">For each of the nine layers, write the controls the use case needs (</w:t>
            </w:r>
            <w:hyperlink w:history="1" r:id="rId6j6ulsrfwaix76zzg16er">
              <w:r>
                <w:rPr>
                  <w:rFonts w:ascii="Calibri" w:cs="Calibri" w:eastAsia="Calibri" w:hAnsi="Calibri"/>
                  <w:color w:val="0369A1"/>
                  <w:sz w:val="20"/>
                  <w:szCs w:val="20"/>
                  <w:u w:val="single"/>
                </w:rPr>
                <w:t xml:space="preserve">Section 4</w:t>
              </w:r>
            </w:hyperlink>
            <w:r>
              <w:rPr>
                <w:rFonts w:ascii="Calibri" w:cs="Calibri" w:eastAsia="Calibri" w:hAnsi="Calibri"/>
                <w:sz w:val="20"/>
                <w:szCs w:val="20"/>
              </w:rPr>
              <w:t xml:space="preserve"> lists the questions to ask).</w:t>
            </w:r>
          </w:p>
          <w:p>
            <w:pPr>
              <w:pStyle w:val="ListParagraph"/>
              <w:numPr>
                <w:ilvl w:val="0"/>
                <w:numId w:val="10"/>
              </w:numPr>
              <w:spacing w:after="60"/>
            </w:pPr>
            <w:r>
              <w:rPr>
                <w:rFonts w:ascii="Calibri" w:cs="Calibri" w:eastAsia="Calibri" w:hAnsi="Calibri"/>
                <w:sz w:val="20"/>
                <w:szCs w:val="20"/>
              </w:rPr>
              <w:t xml:space="preserve">Record what enforces each control in the realization, and in which phase.</w:t>
            </w:r>
          </w:p>
          <w:p>
            <w:pPr>
              <w:pStyle w:val="ListParagraph"/>
              <w:numPr>
                <w:ilvl w:val="0"/>
                <w:numId w:val="10"/>
              </w:numPr>
              <w:spacing w:after="60"/>
            </w:pPr>
            <w:r>
              <w:rPr>
                <w:rFonts w:ascii="Calibri" w:cs="Calibri" w:eastAsia="Calibri" w:hAnsi="Calibri"/>
                <w:sz w:val="20"/>
                <w:szCs w:val="20"/>
              </w:rPr>
              <w:t xml:space="preserve">Give every agent a tier, a human role, the approvals bound to its actions and its limits.</w:t>
            </w:r>
          </w:p>
          <w:p>
            <w:pPr>
              <w:pStyle w:val="ListParagraph"/>
              <w:numPr>
                <w:ilvl w:val="0"/>
                <w:numId w:val="10"/>
              </w:numPr>
              <w:spacing w:after="60"/>
            </w:pPr>
            <w:r>
              <w:rPr>
                <w:rFonts w:ascii="Calibri" w:cs="Calibri" w:eastAsia="Calibri" w:hAnsi="Calibri"/>
                <w:sz w:val="20"/>
                <w:szCs w:val="20"/>
              </w:rPr>
              <w:t xml:space="preserve">List each regulatory or professional obligation with the evidence it requires and where that evidence is produced.</w:t>
            </w:r>
          </w:p>
          <w:p>
            <w:pPr>
              <w:pStyle w:val="ListParagraph"/>
              <w:numPr>
                <w:ilvl w:val="0"/>
                <w:numId w:val="10"/>
              </w:numPr>
              <w:spacing w:after="60"/>
            </w:pPr>
            <w:r>
              <w:rPr>
                <w:rFonts w:ascii="Calibri" w:cs="Calibri" w:eastAsia="Calibri" w:hAnsi="Calibri"/>
                <w:sz w:val="20"/>
                <w:szCs w:val="20"/>
              </w:rPr>
              <w:t xml:space="preserve">Map the design to the OWASP agentic risks (ASI01 to ASI10) and name an owner for every gap (</w:t>
            </w:r>
            <w:hyperlink w:history="1" r:id="rIdvdrs6il9qtcmxhezlfoxg">
              <w:r>
                <w:rPr>
                  <w:rFonts w:ascii="Calibri" w:cs="Calibri" w:eastAsia="Calibri" w:hAnsi="Calibri"/>
                  <w:color w:val="0369A1"/>
                  <w:sz w:val="20"/>
                  <w:szCs w:val="20"/>
                  <w:u w:val="single"/>
                </w:rPr>
                <w:t xml:space="preserve">Section 4</w:t>
              </w:r>
            </w:hyperlink>
            <w:r>
              <w:rPr>
                <w:rFonts w:ascii="Calibri" w:cs="Calibri" w:eastAsia="Calibri" w:hAnsi="Calibri"/>
                <w:sz w:val="20"/>
                <w:szCs w:val="20"/>
              </w:rPr>
              <w:t xml:space="preserve">).</w:t>
            </w:r>
          </w:p>
          <w:p>
            <w:pPr>
              <w:pStyle w:val="ListParagraph"/>
              <w:numPr>
                <w:ilvl w:val="0"/>
                <w:numId w:val="10"/>
              </w:numPr>
              <w:spacing w:after="60"/>
            </w:pPr>
            <w:r>
              <w:rPr>
                <w:rFonts w:ascii="Calibri" w:cs="Calibri" w:eastAsia="Calibri" w:hAnsi="Calibri"/>
                <w:sz w:val="20"/>
                <w:szCs w:val="20"/>
              </w:rPr>
              <w:t xml:space="preserve">For every agent above tier 1, record the evidence it needs for promotion and the events that demote it automatically.</w:t>
            </w:r>
          </w:p>
          <w:p>
            <w:pPr>
              <w:pStyle w:val="ListParagraph"/>
              <w:numPr>
                <w:ilvl w:val="0"/>
                <w:numId w:val="10"/>
              </w:numPr>
              <w:spacing w:after="60"/>
            </w:pPr>
            <w:r>
              <w:rPr>
                <w:rFonts w:ascii="Calibri" w:cs="Calibri" w:eastAsia="Calibri" w:hAnsi="Calibri"/>
                <w:sz w:val="20"/>
                <w:szCs w:val="20"/>
              </w:rPr>
              <w:t xml:space="preserve">For every agent at tier 3 or above, write the takeover runbook: who takes over, with what information, and how the process continues.</w:t>
            </w:r>
          </w:p>
          <w:p>
            <w:pPr>
              <w:pStyle w:val="ListParagraph"/>
              <w:numPr>
                <w:ilvl w:val="0"/>
                <w:numId w:val="10"/>
              </w:numPr>
              <w:spacing w:after="60"/>
            </w:pPr>
            <w:r>
              <w:rPr>
                <w:rFonts w:ascii="Calibri" w:cs="Calibri" w:eastAsia="Calibri" w:hAnsi="Calibri"/>
                <w:sz w:val="20"/>
                <w:szCs w:val="20"/>
              </w:rPr>
              <w:t xml:space="preserve">If compliance asks, add control IDs from ISO/IEC 42001, the NIST AI RMF or the EU AI Act.</w:t>
            </w:r>
          </w:p>
          <w:p>
            <w:pPr>
              <w:spacing w:after="60" w:before="120"/>
            </w:pPr>
            <w:r>
              <w:rPr>
                <w:rFonts w:ascii="Calibri" w:cs="Calibri" w:eastAsia="Calibri" w:hAnsi="Calibri"/>
                <w:b/>
                <w:bCs/>
                <w:color w:val="1E293B"/>
                <w:sz w:val="20"/>
                <w:szCs w:val="20"/>
              </w:rPr>
              <w:t xml:space="preserve">Tips</w:t>
            </w:r>
          </w:p>
          <w:p>
            <w:pPr>
              <w:pStyle w:val="ListParagraph"/>
              <w:numPr>
                <w:ilvl w:val="0"/>
                <w:numId w:val="11"/>
              </w:numPr>
              <w:spacing w:after="60"/>
            </w:pPr>
            <w:r>
              <w:rPr>
                <w:rFonts w:ascii="Calibri" w:cs="Calibri" w:eastAsia="Calibri" w:hAnsi="Calibri"/>
                <w:sz w:val="20"/>
                <w:szCs w:val="20"/>
              </w:rPr>
              <w:t xml:space="preserve">Only a few agents should ever write to a system of record, and those writes need bound, time-limited approvals and a drilled kill switch.</w:t>
            </w:r>
          </w:p>
          <w:p>
            <w:pPr>
              <w:pStyle w:val="ListParagraph"/>
              <w:numPr>
                <w:ilvl w:val="0"/>
                <w:numId w:val="11"/>
              </w:numPr>
              <w:spacing w:after="60"/>
            </w:pPr>
            <w:r>
              <w:rPr>
                <w:rFonts w:ascii="Calibri" w:cs="Calibri" w:eastAsia="Calibri" w:hAnsi="Calibri"/>
                <w:sz w:val="20"/>
                <w:szCs w:val="20"/>
              </w:rPr>
              <w:t xml:space="preserve">Turn the 2026 protocol changes into controls: the registry verifies signed agent cards (A2A 1.0), and the gateway applies policy on MCP’s standard request headers and joins every call to its trace.</w:t>
            </w:r>
            <w:hyperlink w:history="1" w:anchor="en_26">
              <w:r>
                <w:rPr>
                  <w:rFonts w:ascii="Calibri" w:cs="Calibri" w:eastAsia="Calibri" w:hAnsi="Calibri"/>
                  <w:color w:val="0369A1"/>
                  <w:sz w:val="20"/>
                  <w:szCs w:val="20"/>
                  <w:vertAlign w:val="superscript"/>
                </w:rPr>
                <w:t xml:space="preserve">26</w:t>
              </w:r>
            </w:hyperlink>
            <w:r>
              <w:rPr>
                <w:rFonts w:ascii="Calibri" w:cs="Calibri" w:eastAsia="Calibri" w:hAnsi="Calibri"/>
                <w:sz w:val="20"/>
                <w:szCs w:val="20"/>
                <w:vertAlign w:val="superscript"/>
              </w:rPr>
              <w:t xml:space="preserve">,</w:t>
            </w:r>
            <w:hyperlink w:history="1" w:anchor="en_27">
              <w:r>
                <w:rPr>
                  <w:rFonts w:ascii="Calibri" w:cs="Calibri" w:eastAsia="Calibri" w:hAnsi="Calibri"/>
                  <w:color w:val="0369A1"/>
                  <w:sz w:val="20"/>
                  <w:szCs w:val="20"/>
                  <w:vertAlign w:val="superscript"/>
                </w:rPr>
                <w:t xml:space="preserve">27</w:t>
              </w:r>
            </w:hyperlink>
          </w:p>
          <w:p>
            <w:pPr>
              <w:spacing w:after="80"/>
            </w:pPr>
            <w:r>
              <w:rPr>
                <w:rFonts w:ascii="Calibri" w:cs="Calibri" w:eastAsia="Calibri" w:hAnsi="Calibri"/>
                <w:b/>
                <w:bCs/>
                <w:sz w:val="20"/>
                <w:szCs w:val="20"/>
              </w:rPr>
              <w:t xml:space="preserve">Feeds.</w:t>
            </w:r>
            <w:r>
              <w:rPr>
                <w:rFonts w:ascii="Calibri" w:cs="Calibri" w:eastAsia="Calibri" w:hAnsi="Calibri"/>
                <w:sz w:val="20"/>
                <w:szCs w:val="20"/>
              </w:rPr>
              <w:t xml:space="preserve">  Client deck: Security. Client report: section 6.</w:t>
            </w:r>
          </w:p>
        </w:tc>
      </w:tr>
    </w:tbl>
    <w:p>
      <w:pPr>
        <w:spacing w:after="120"/>
      </w:pPr>
    </w:p>
    <w:tbl>
      <w:tblPr>
        <w:tblW w:type="dxa" w:w="9360"/>
        <w:tblBorders>
          <w:top w:val="single" w:color="CBD5E1" w:sz="4"/>
          <w:left w:val="single" w:color="CBD5E1" w:sz="4"/>
          <w:bottom w:val="single" w:color="CBD5E1" w:sz="4"/>
          <w:right w:val="single" w:color="CBD5E1" w:sz="4"/>
          <w:insideH w:val="single" w:color="CBD5E1" w:sz="4"/>
          <w:insideV w:val="single" w:color="CBD5E1" w:sz="4"/>
        </w:tblBorders>
        <w:tblLayout w:type="fixed"/>
      </w:tblPr>
      <w:tblGrid>
        <w:gridCol w:w="912"/>
        <w:gridCol w:w="1744"/>
        <w:gridCol w:w="1690"/>
        <w:gridCol w:w="1690"/>
        <w:gridCol w:w="1660"/>
        <w:gridCol w:w="1664"/>
      </w:tblGrid>
      <w:tr>
        <w:trPr>
          <w:cantSplit/>
          <w:tblHeader/>
        </w:trPr>
        <w:tc>
          <w:tcPr>
            <w:tcW w:type="dxa" w:w="912"/>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Layer</w:t>
            </w:r>
          </w:p>
        </w:tc>
        <w:tc>
          <w:tcPr>
            <w:tcW w:type="dxa" w:w="1744"/>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Requirement (controls)</w:t>
            </w:r>
          </w:p>
        </w:tc>
        <w:tc>
          <w:tcPr>
            <w:tcW w:type="dxa" w:w="1690"/>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Enforced by</w:t>
            </w:r>
          </w:p>
        </w:tc>
        <w:tc>
          <w:tcPr>
            <w:tcW w:type="dxa" w:w="1690"/>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Control IDs</w:t>
            </w:r>
          </w:p>
        </w:tc>
        <w:tc>
          <w:tcPr>
            <w:tcW w:type="dxa" w:w="1660"/>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Phase</w:t>
            </w:r>
          </w:p>
        </w:tc>
        <w:tc>
          <w:tcPr>
            <w:tcW w:type="dxa" w:w="1664"/>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Owner</w:t>
            </w:r>
          </w:p>
        </w:tc>
      </w:tr>
      <w:tr>
        <w:trPr>
          <w:cantSplit/>
          <w:tblHeader w:val="false"/>
        </w:trPr>
        <w:tc>
          <w:tcPr>
            <w:tcW w:type="dxa" w:w="912"/>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Users</w:t>
            </w:r>
          </w:p>
        </w:tc>
        <w:tc>
          <w:tcPr>
            <w:tcW w:type="dxa" w:w="1744"/>
            <w:tcMar>
              <w:top w:type="dxa" w:w="60"/>
              <w:left w:type="dxa" w:w="100"/>
              <w:bottom w:type="dxa" w:w="60"/>
              <w:right w:type="dxa" w:w="100"/>
            </w:tcMar>
            <w:vAlign w:val="top"/>
          </w:tcPr>
          <w:p>
            <w:pPr>
              <w:spacing w:after="0" w:before="0" w:line="252"/>
            </w:pPr>
          </w:p>
        </w:tc>
        <w:tc>
          <w:tcPr>
            <w:tcW w:type="dxa" w:w="1690"/>
            <w:tcMar>
              <w:top w:type="dxa" w:w="60"/>
              <w:left w:type="dxa" w:w="100"/>
              <w:bottom w:type="dxa" w:w="60"/>
              <w:right w:type="dxa" w:w="100"/>
            </w:tcMar>
            <w:vAlign w:val="top"/>
          </w:tcPr>
          <w:p>
            <w:pPr>
              <w:spacing w:after="0" w:before="0" w:line="252"/>
            </w:pPr>
          </w:p>
        </w:tc>
        <w:tc>
          <w:tcPr>
            <w:tcW w:type="dxa" w:w="1690"/>
            <w:tcMar>
              <w:top w:type="dxa" w:w="60"/>
              <w:left w:type="dxa" w:w="100"/>
              <w:bottom w:type="dxa" w:w="60"/>
              <w:right w:type="dxa" w:w="100"/>
            </w:tcMar>
            <w:vAlign w:val="top"/>
          </w:tcPr>
          <w:p>
            <w:pPr>
              <w:spacing w:after="0" w:before="0" w:line="252"/>
            </w:pPr>
          </w:p>
        </w:tc>
        <w:tc>
          <w:tcPr>
            <w:tcW w:type="dxa" w:w="1660"/>
            <w:tcMar>
              <w:top w:type="dxa" w:w="60"/>
              <w:left w:type="dxa" w:w="100"/>
              <w:bottom w:type="dxa" w:w="60"/>
              <w:right w:type="dxa" w:w="100"/>
            </w:tcMar>
            <w:vAlign w:val="top"/>
          </w:tcPr>
          <w:p>
            <w:pPr>
              <w:spacing w:after="0" w:before="0" w:line="252"/>
            </w:pPr>
          </w:p>
        </w:tc>
        <w:tc>
          <w:tcPr>
            <w:tcW w:type="dxa" w:w="1664"/>
            <w:tcMar>
              <w:top w:type="dxa" w:w="60"/>
              <w:left w:type="dxa" w:w="100"/>
              <w:bottom w:type="dxa" w:w="60"/>
              <w:right w:type="dxa" w:w="100"/>
            </w:tcMar>
            <w:vAlign w:val="top"/>
          </w:tcPr>
          <w:p>
            <w:pPr>
              <w:spacing w:after="0" w:before="0" w:line="252"/>
            </w:pPr>
          </w:p>
        </w:tc>
      </w:tr>
      <w:tr>
        <w:trPr>
          <w:cantSplit/>
          <w:tblHeader w:val="false"/>
        </w:trPr>
        <w:tc>
          <w:tcPr>
            <w:tcW w:type="dxa" w:w="912"/>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Agents</w:t>
            </w:r>
          </w:p>
        </w:tc>
        <w:tc>
          <w:tcPr>
            <w:tcW w:type="dxa" w:w="1744"/>
            <w:tcMar>
              <w:top w:type="dxa" w:w="60"/>
              <w:left w:type="dxa" w:w="100"/>
              <w:bottom w:type="dxa" w:w="60"/>
              <w:right w:type="dxa" w:w="100"/>
            </w:tcMar>
            <w:vAlign w:val="top"/>
          </w:tcPr>
          <w:p>
            <w:pPr>
              <w:spacing w:after="0" w:before="0" w:line="252"/>
            </w:pPr>
          </w:p>
        </w:tc>
        <w:tc>
          <w:tcPr>
            <w:tcW w:type="dxa" w:w="1690"/>
            <w:tcMar>
              <w:top w:type="dxa" w:w="60"/>
              <w:left w:type="dxa" w:w="100"/>
              <w:bottom w:type="dxa" w:w="60"/>
              <w:right w:type="dxa" w:w="100"/>
            </w:tcMar>
            <w:vAlign w:val="top"/>
          </w:tcPr>
          <w:p>
            <w:pPr>
              <w:spacing w:after="0" w:before="0" w:line="252"/>
            </w:pPr>
          </w:p>
        </w:tc>
        <w:tc>
          <w:tcPr>
            <w:tcW w:type="dxa" w:w="1690"/>
            <w:tcMar>
              <w:top w:type="dxa" w:w="60"/>
              <w:left w:type="dxa" w:w="100"/>
              <w:bottom w:type="dxa" w:w="60"/>
              <w:right w:type="dxa" w:w="100"/>
            </w:tcMar>
            <w:vAlign w:val="top"/>
          </w:tcPr>
          <w:p>
            <w:pPr>
              <w:spacing w:after="0" w:before="0" w:line="252"/>
            </w:pPr>
          </w:p>
        </w:tc>
        <w:tc>
          <w:tcPr>
            <w:tcW w:type="dxa" w:w="1660"/>
            <w:tcMar>
              <w:top w:type="dxa" w:w="60"/>
              <w:left w:type="dxa" w:w="100"/>
              <w:bottom w:type="dxa" w:w="60"/>
              <w:right w:type="dxa" w:w="100"/>
            </w:tcMar>
            <w:vAlign w:val="top"/>
          </w:tcPr>
          <w:p>
            <w:pPr>
              <w:spacing w:after="0" w:before="0" w:line="252"/>
            </w:pPr>
          </w:p>
        </w:tc>
        <w:tc>
          <w:tcPr>
            <w:tcW w:type="dxa" w:w="1664"/>
            <w:tcMar>
              <w:top w:type="dxa" w:w="60"/>
              <w:left w:type="dxa" w:w="100"/>
              <w:bottom w:type="dxa" w:w="60"/>
              <w:right w:type="dxa" w:w="100"/>
            </w:tcMar>
            <w:vAlign w:val="top"/>
          </w:tcPr>
          <w:p>
            <w:pPr>
              <w:spacing w:after="0" w:before="0" w:line="252"/>
            </w:pPr>
          </w:p>
        </w:tc>
      </w:tr>
      <w:tr>
        <w:trPr>
          <w:cantSplit/>
          <w:tblHeader w:val="false"/>
        </w:trPr>
        <w:tc>
          <w:tcPr>
            <w:tcW w:type="dxa" w:w="912"/>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A2A</w:t>
            </w:r>
          </w:p>
        </w:tc>
        <w:tc>
          <w:tcPr>
            <w:tcW w:type="dxa" w:w="1744"/>
            <w:tcMar>
              <w:top w:type="dxa" w:w="60"/>
              <w:left w:type="dxa" w:w="100"/>
              <w:bottom w:type="dxa" w:w="60"/>
              <w:right w:type="dxa" w:w="100"/>
            </w:tcMar>
            <w:vAlign w:val="top"/>
          </w:tcPr>
          <w:p>
            <w:pPr>
              <w:spacing w:after="0" w:before="0" w:line="252"/>
            </w:pPr>
          </w:p>
        </w:tc>
        <w:tc>
          <w:tcPr>
            <w:tcW w:type="dxa" w:w="1690"/>
            <w:tcMar>
              <w:top w:type="dxa" w:w="60"/>
              <w:left w:type="dxa" w:w="100"/>
              <w:bottom w:type="dxa" w:w="60"/>
              <w:right w:type="dxa" w:w="100"/>
            </w:tcMar>
            <w:vAlign w:val="top"/>
          </w:tcPr>
          <w:p>
            <w:pPr>
              <w:spacing w:after="0" w:before="0" w:line="252"/>
            </w:pPr>
          </w:p>
        </w:tc>
        <w:tc>
          <w:tcPr>
            <w:tcW w:type="dxa" w:w="1690"/>
            <w:tcMar>
              <w:top w:type="dxa" w:w="60"/>
              <w:left w:type="dxa" w:w="100"/>
              <w:bottom w:type="dxa" w:w="60"/>
              <w:right w:type="dxa" w:w="100"/>
            </w:tcMar>
            <w:vAlign w:val="top"/>
          </w:tcPr>
          <w:p>
            <w:pPr>
              <w:spacing w:after="0" w:before="0" w:line="252"/>
            </w:pPr>
          </w:p>
        </w:tc>
        <w:tc>
          <w:tcPr>
            <w:tcW w:type="dxa" w:w="1660"/>
            <w:tcMar>
              <w:top w:type="dxa" w:w="60"/>
              <w:left w:type="dxa" w:w="100"/>
              <w:bottom w:type="dxa" w:w="60"/>
              <w:right w:type="dxa" w:w="100"/>
            </w:tcMar>
            <w:vAlign w:val="top"/>
          </w:tcPr>
          <w:p>
            <w:pPr>
              <w:spacing w:after="0" w:before="0" w:line="252"/>
            </w:pPr>
          </w:p>
        </w:tc>
        <w:tc>
          <w:tcPr>
            <w:tcW w:type="dxa" w:w="1664"/>
            <w:tcMar>
              <w:top w:type="dxa" w:w="60"/>
              <w:left w:type="dxa" w:w="100"/>
              <w:bottom w:type="dxa" w:w="60"/>
              <w:right w:type="dxa" w:w="100"/>
            </w:tcMar>
            <w:vAlign w:val="top"/>
          </w:tcPr>
          <w:p>
            <w:pPr>
              <w:spacing w:after="0" w:before="0" w:line="252"/>
            </w:pPr>
          </w:p>
        </w:tc>
      </w:tr>
      <w:tr>
        <w:trPr>
          <w:cantSplit/>
          <w:tblHeader w:val="false"/>
        </w:trPr>
        <w:tc>
          <w:tcPr>
            <w:tcW w:type="dxa" w:w="912"/>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MCP</w:t>
            </w:r>
          </w:p>
        </w:tc>
        <w:tc>
          <w:tcPr>
            <w:tcW w:type="dxa" w:w="1744"/>
            <w:tcMar>
              <w:top w:type="dxa" w:w="60"/>
              <w:left w:type="dxa" w:w="100"/>
              <w:bottom w:type="dxa" w:w="60"/>
              <w:right w:type="dxa" w:w="100"/>
            </w:tcMar>
            <w:vAlign w:val="top"/>
          </w:tcPr>
          <w:p>
            <w:pPr>
              <w:spacing w:after="0" w:before="0" w:line="252"/>
            </w:pPr>
          </w:p>
        </w:tc>
        <w:tc>
          <w:tcPr>
            <w:tcW w:type="dxa" w:w="1690"/>
            <w:tcMar>
              <w:top w:type="dxa" w:w="60"/>
              <w:left w:type="dxa" w:w="100"/>
              <w:bottom w:type="dxa" w:w="60"/>
              <w:right w:type="dxa" w:w="100"/>
            </w:tcMar>
            <w:vAlign w:val="top"/>
          </w:tcPr>
          <w:p>
            <w:pPr>
              <w:spacing w:after="0" w:before="0" w:line="252"/>
            </w:pPr>
          </w:p>
        </w:tc>
        <w:tc>
          <w:tcPr>
            <w:tcW w:type="dxa" w:w="1690"/>
            <w:tcMar>
              <w:top w:type="dxa" w:w="60"/>
              <w:left w:type="dxa" w:w="100"/>
              <w:bottom w:type="dxa" w:w="60"/>
              <w:right w:type="dxa" w:w="100"/>
            </w:tcMar>
            <w:vAlign w:val="top"/>
          </w:tcPr>
          <w:p>
            <w:pPr>
              <w:spacing w:after="0" w:before="0" w:line="252"/>
            </w:pPr>
          </w:p>
        </w:tc>
        <w:tc>
          <w:tcPr>
            <w:tcW w:type="dxa" w:w="1660"/>
            <w:tcMar>
              <w:top w:type="dxa" w:w="60"/>
              <w:left w:type="dxa" w:w="100"/>
              <w:bottom w:type="dxa" w:w="60"/>
              <w:right w:type="dxa" w:w="100"/>
            </w:tcMar>
            <w:vAlign w:val="top"/>
          </w:tcPr>
          <w:p>
            <w:pPr>
              <w:spacing w:after="0" w:before="0" w:line="252"/>
            </w:pPr>
          </w:p>
        </w:tc>
        <w:tc>
          <w:tcPr>
            <w:tcW w:type="dxa" w:w="1664"/>
            <w:tcMar>
              <w:top w:type="dxa" w:w="60"/>
              <w:left w:type="dxa" w:w="100"/>
              <w:bottom w:type="dxa" w:w="60"/>
              <w:right w:type="dxa" w:w="100"/>
            </w:tcMar>
            <w:vAlign w:val="top"/>
          </w:tcPr>
          <w:p>
            <w:pPr>
              <w:spacing w:after="0" w:before="0" w:line="252"/>
            </w:pPr>
          </w:p>
        </w:tc>
      </w:tr>
      <w:tr>
        <w:trPr>
          <w:cantSplit/>
          <w:tblHeader w:val="false"/>
        </w:trPr>
        <w:tc>
          <w:tcPr>
            <w:tcW w:type="dxa" w:w="912"/>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APIs</w:t>
            </w:r>
          </w:p>
        </w:tc>
        <w:tc>
          <w:tcPr>
            <w:tcW w:type="dxa" w:w="1744"/>
            <w:tcMar>
              <w:top w:type="dxa" w:w="60"/>
              <w:left w:type="dxa" w:w="100"/>
              <w:bottom w:type="dxa" w:w="60"/>
              <w:right w:type="dxa" w:w="100"/>
            </w:tcMar>
            <w:vAlign w:val="top"/>
          </w:tcPr>
          <w:p>
            <w:pPr>
              <w:spacing w:after="0" w:before="0" w:line="252"/>
            </w:pPr>
          </w:p>
        </w:tc>
        <w:tc>
          <w:tcPr>
            <w:tcW w:type="dxa" w:w="1690"/>
            <w:tcMar>
              <w:top w:type="dxa" w:w="60"/>
              <w:left w:type="dxa" w:w="100"/>
              <w:bottom w:type="dxa" w:w="60"/>
              <w:right w:type="dxa" w:w="100"/>
            </w:tcMar>
            <w:vAlign w:val="top"/>
          </w:tcPr>
          <w:p>
            <w:pPr>
              <w:spacing w:after="0" w:before="0" w:line="252"/>
            </w:pPr>
          </w:p>
        </w:tc>
        <w:tc>
          <w:tcPr>
            <w:tcW w:type="dxa" w:w="1690"/>
            <w:tcMar>
              <w:top w:type="dxa" w:w="60"/>
              <w:left w:type="dxa" w:w="100"/>
              <w:bottom w:type="dxa" w:w="60"/>
              <w:right w:type="dxa" w:w="100"/>
            </w:tcMar>
            <w:vAlign w:val="top"/>
          </w:tcPr>
          <w:p>
            <w:pPr>
              <w:spacing w:after="0" w:before="0" w:line="252"/>
            </w:pPr>
          </w:p>
        </w:tc>
        <w:tc>
          <w:tcPr>
            <w:tcW w:type="dxa" w:w="1660"/>
            <w:tcMar>
              <w:top w:type="dxa" w:w="60"/>
              <w:left w:type="dxa" w:w="100"/>
              <w:bottom w:type="dxa" w:w="60"/>
              <w:right w:type="dxa" w:w="100"/>
            </w:tcMar>
            <w:vAlign w:val="top"/>
          </w:tcPr>
          <w:p>
            <w:pPr>
              <w:spacing w:after="0" w:before="0" w:line="252"/>
            </w:pPr>
          </w:p>
        </w:tc>
        <w:tc>
          <w:tcPr>
            <w:tcW w:type="dxa" w:w="1664"/>
            <w:tcMar>
              <w:top w:type="dxa" w:w="60"/>
              <w:left w:type="dxa" w:w="100"/>
              <w:bottom w:type="dxa" w:w="60"/>
              <w:right w:type="dxa" w:w="100"/>
            </w:tcMar>
            <w:vAlign w:val="top"/>
          </w:tcPr>
          <w:p>
            <w:pPr>
              <w:spacing w:after="0" w:before="0" w:line="252"/>
            </w:pPr>
          </w:p>
        </w:tc>
      </w:tr>
      <w:tr>
        <w:trPr>
          <w:cantSplit/>
          <w:tblHeader w:val="false"/>
        </w:trPr>
        <w:tc>
          <w:tcPr>
            <w:tcW w:type="dxa" w:w="912"/>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Models</w:t>
            </w:r>
          </w:p>
        </w:tc>
        <w:tc>
          <w:tcPr>
            <w:tcW w:type="dxa" w:w="1744"/>
            <w:tcMar>
              <w:top w:type="dxa" w:w="60"/>
              <w:left w:type="dxa" w:w="100"/>
              <w:bottom w:type="dxa" w:w="60"/>
              <w:right w:type="dxa" w:w="100"/>
            </w:tcMar>
            <w:vAlign w:val="top"/>
          </w:tcPr>
          <w:p>
            <w:pPr>
              <w:spacing w:after="0" w:before="0" w:line="252"/>
            </w:pPr>
          </w:p>
        </w:tc>
        <w:tc>
          <w:tcPr>
            <w:tcW w:type="dxa" w:w="1690"/>
            <w:tcMar>
              <w:top w:type="dxa" w:w="60"/>
              <w:left w:type="dxa" w:w="100"/>
              <w:bottom w:type="dxa" w:w="60"/>
              <w:right w:type="dxa" w:w="100"/>
            </w:tcMar>
            <w:vAlign w:val="top"/>
          </w:tcPr>
          <w:p>
            <w:pPr>
              <w:spacing w:after="0" w:before="0" w:line="252"/>
            </w:pPr>
          </w:p>
        </w:tc>
        <w:tc>
          <w:tcPr>
            <w:tcW w:type="dxa" w:w="1690"/>
            <w:tcMar>
              <w:top w:type="dxa" w:w="60"/>
              <w:left w:type="dxa" w:w="100"/>
              <w:bottom w:type="dxa" w:w="60"/>
              <w:right w:type="dxa" w:w="100"/>
            </w:tcMar>
            <w:vAlign w:val="top"/>
          </w:tcPr>
          <w:p>
            <w:pPr>
              <w:spacing w:after="0" w:before="0" w:line="252"/>
            </w:pPr>
          </w:p>
        </w:tc>
        <w:tc>
          <w:tcPr>
            <w:tcW w:type="dxa" w:w="1660"/>
            <w:tcMar>
              <w:top w:type="dxa" w:w="60"/>
              <w:left w:type="dxa" w:w="100"/>
              <w:bottom w:type="dxa" w:w="60"/>
              <w:right w:type="dxa" w:w="100"/>
            </w:tcMar>
            <w:vAlign w:val="top"/>
          </w:tcPr>
          <w:p>
            <w:pPr>
              <w:spacing w:after="0" w:before="0" w:line="252"/>
            </w:pPr>
          </w:p>
        </w:tc>
        <w:tc>
          <w:tcPr>
            <w:tcW w:type="dxa" w:w="1664"/>
            <w:tcMar>
              <w:top w:type="dxa" w:w="60"/>
              <w:left w:type="dxa" w:w="100"/>
              <w:bottom w:type="dxa" w:w="60"/>
              <w:right w:type="dxa" w:w="100"/>
            </w:tcMar>
            <w:vAlign w:val="top"/>
          </w:tcPr>
          <w:p>
            <w:pPr>
              <w:spacing w:after="0" w:before="0" w:line="252"/>
            </w:pPr>
          </w:p>
        </w:tc>
      </w:tr>
      <w:tr>
        <w:trPr>
          <w:cantSplit/>
          <w:tblHeader w:val="false"/>
        </w:trPr>
        <w:tc>
          <w:tcPr>
            <w:tcW w:type="dxa" w:w="912"/>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Data at rest</w:t>
            </w:r>
          </w:p>
        </w:tc>
        <w:tc>
          <w:tcPr>
            <w:tcW w:type="dxa" w:w="1744"/>
            <w:tcMar>
              <w:top w:type="dxa" w:w="60"/>
              <w:left w:type="dxa" w:w="100"/>
              <w:bottom w:type="dxa" w:w="60"/>
              <w:right w:type="dxa" w:w="100"/>
            </w:tcMar>
            <w:vAlign w:val="top"/>
          </w:tcPr>
          <w:p>
            <w:pPr>
              <w:spacing w:after="0" w:before="0" w:line="252"/>
            </w:pPr>
          </w:p>
        </w:tc>
        <w:tc>
          <w:tcPr>
            <w:tcW w:type="dxa" w:w="1690"/>
            <w:tcMar>
              <w:top w:type="dxa" w:w="60"/>
              <w:left w:type="dxa" w:w="100"/>
              <w:bottom w:type="dxa" w:w="60"/>
              <w:right w:type="dxa" w:w="100"/>
            </w:tcMar>
            <w:vAlign w:val="top"/>
          </w:tcPr>
          <w:p>
            <w:pPr>
              <w:spacing w:after="0" w:before="0" w:line="252"/>
            </w:pPr>
          </w:p>
        </w:tc>
        <w:tc>
          <w:tcPr>
            <w:tcW w:type="dxa" w:w="1690"/>
            <w:tcMar>
              <w:top w:type="dxa" w:w="60"/>
              <w:left w:type="dxa" w:w="100"/>
              <w:bottom w:type="dxa" w:w="60"/>
              <w:right w:type="dxa" w:w="100"/>
            </w:tcMar>
            <w:vAlign w:val="top"/>
          </w:tcPr>
          <w:p>
            <w:pPr>
              <w:spacing w:after="0" w:before="0" w:line="252"/>
            </w:pPr>
          </w:p>
        </w:tc>
        <w:tc>
          <w:tcPr>
            <w:tcW w:type="dxa" w:w="1660"/>
            <w:tcMar>
              <w:top w:type="dxa" w:w="60"/>
              <w:left w:type="dxa" w:w="100"/>
              <w:bottom w:type="dxa" w:w="60"/>
              <w:right w:type="dxa" w:w="100"/>
            </w:tcMar>
            <w:vAlign w:val="top"/>
          </w:tcPr>
          <w:p>
            <w:pPr>
              <w:spacing w:after="0" w:before="0" w:line="252"/>
            </w:pPr>
          </w:p>
        </w:tc>
        <w:tc>
          <w:tcPr>
            <w:tcW w:type="dxa" w:w="1664"/>
            <w:tcMar>
              <w:top w:type="dxa" w:w="60"/>
              <w:left w:type="dxa" w:w="100"/>
              <w:bottom w:type="dxa" w:w="60"/>
              <w:right w:type="dxa" w:w="100"/>
            </w:tcMar>
            <w:vAlign w:val="top"/>
          </w:tcPr>
          <w:p>
            <w:pPr>
              <w:spacing w:after="0" w:before="0" w:line="252"/>
            </w:pPr>
          </w:p>
        </w:tc>
      </w:tr>
      <w:tr>
        <w:trPr>
          <w:cantSplit/>
          <w:tblHeader w:val="false"/>
        </w:trPr>
        <w:tc>
          <w:tcPr>
            <w:tcW w:type="dxa" w:w="912"/>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Data in motion</w:t>
            </w:r>
          </w:p>
        </w:tc>
        <w:tc>
          <w:tcPr>
            <w:tcW w:type="dxa" w:w="1744"/>
            <w:tcMar>
              <w:top w:type="dxa" w:w="60"/>
              <w:left w:type="dxa" w:w="100"/>
              <w:bottom w:type="dxa" w:w="60"/>
              <w:right w:type="dxa" w:w="100"/>
            </w:tcMar>
            <w:vAlign w:val="top"/>
          </w:tcPr>
          <w:p>
            <w:pPr>
              <w:spacing w:after="0" w:before="0" w:line="252"/>
            </w:pPr>
          </w:p>
        </w:tc>
        <w:tc>
          <w:tcPr>
            <w:tcW w:type="dxa" w:w="1690"/>
            <w:tcMar>
              <w:top w:type="dxa" w:w="60"/>
              <w:left w:type="dxa" w:w="100"/>
              <w:bottom w:type="dxa" w:w="60"/>
              <w:right w:type="dxa" w:w="100"/>
            </w:tcMar>
            <w:vAlign w:val="top"/>
          </w:tcPr>
          <w:p>
            <w:pPr>
              <w:spacing w:after="0" w:before="0" w:line="252"/>
            </w:pPr>
          </w:p>
        </w:tc>
        <w:tc>
          <w:tcPr>
            <w:tcW w:type="dxa" w:w="1690"/>
            <w:tcMar>
              <w:top w:type="dxa" w:w="60"/>
              <w:left w:type="dxa" w:w="100"/>
              <w:bottom w:type="dxa" w:w="60"/>
              <w:right w:type="dxa" w:w="100"/>
            </w:tcMar>
            <w:vAlign w:val="top"/>
          </w:tcPr>
          <w:p>
            <w:pPr>
              <w:spacing w:after="0" w:before="0" w:line="252"/>
            </w:pPr>
          </w:p>
        </w:tc>
        <w:tc>
          <w:tcPr>
            <w:tcW w:type="dxa" w:w="1660"/>
            <w:tcMar>
              <w:top w:type="dxa" w:w="60"/>
              <w:left w:type="dxa" w:w="100"/>
              <w:bottom w:type="dxa" w:w="60"/>
              <w:right w:type="dxa" w:w="100"/>
            </w:tcMar>
            <w:vAlign w:val="top"/>
          </w:tcPr>
          <w:p>
            <w:pPr>
              <w:spacing w:after="0" w:before="0" w:line="252"/>
            </w:pPr>
          </w:p>
        </w:tc>
        <w:tc>
          <w:tcPr>
            <w:tcW w:type="dxa" w:w="1664"/>
            <w:tcMar>
              <w:top w:type="dxa" w:w="60"/>
              <w:left w:type="dxa" w:w="100"/>
              <w:bottom w:type="dxa" w:w="60"/>
              <w:right w:type="dxa" w:w="100"/>
            </w:tcMar>
            <w:vAlign w:val="top"/>
          </w:tcPr>
          <w:p>
            <w:pPr>
              <w:spacing w:after="0" w:before="0" w:line="252"/>
            </w:pPr>
          </w:p>
        </w:tc>
      </w:tr>
      <w:tr>
        <w:trPr>
          <w:cantSplit/>
          <w:tblHeader w:val="false"/>
        </w:trPr>
        <w:tc>
          <w:tcPr>
            <w:tcW w:type="dxa" w:w="912"/>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Audit</w:t>
            </w:r>
          </w:p>
        </w:tc>
        <w:tc>
          <w:tcPr>
            <w:tcW w:type="dxa" w:w="1744"/>
            <w:tcMar>
              <w:top w:type="dxa" w:w="60"/>
              <w:left w:type="dxa" w:w="100"/>
              <w:bottom w:type="dxa" w:w="60"/>
              <w:right w:type="dxa" w:w="100"/>
            </w:tcMar>
            <w:vAlign w:val="top"/>
          </w:tcPr>
          <w:p>
            <w:pPr>
              <w:spacing w:after="0" w:before="0" w:line="252"/>
            </w:pPr>
          </w:p>
        </w:tc>
        <w:tc>
          <w:tcPr>
            <w:tcW w:type="dxa" w:w="1690"/>
            <w:tcMar>
              <w:top w:type="dxa" w:w="60"/>
              <w:left w:type="dxa" w:w="100"/>
              <w:bottom w:type="dxa" w:w="60"/>
              <w:right w:type="dxa" w:w="100"/>
            </w:tcMar>
            <w:vAlign w:val="top"/>
          </w:tcPr>
          <w:p>
            <w:pPr>
              <w:spacing w:after="0" w:before="0" w:line="252"/>
            </w:pPr>
          </w:p>
        </w:tc>
        <w:tc>
          <w:tcPr>
            <w:tcW w:type="dxa" w:w="1690"/>
            <w:tcMar>
              <w:top w:type="dxa" w:w="60"/>
              <w:left w:type="dxa" w:w="100"/>
              <w:bottom w:type="dxa" w:w="60"/>
              <w:right w:type="dxa" w:w="100"/>
            </w:tcMar>
            <w:vAlign w:val="top"/>
          </w:tcPr>
          <w:p>
            <w:pPr>
              <w:spacing w:after="0" w:before="0" w:line="252"/>
            </w:pPr>
          </w:p>
        </w:tc>
        <w:tc>
          <w:tcPr>
            <w:tcW w:type="dxa" w:w="1660"/>
            <w:tcMar>
              <w:top w:type="dxa" w:w="60"/>
              <w:left w:type="dxa" w:w="100"/>
              <w:bottom w:type="dxa" w:w="60"/>
              <w:right w:type="dxa" w:w="100"/>
            </w:tcMar>
            <w:vAlign w:val="top"/>
          </w:tcPr>
          <w:p>
            <w:pPr>
              <w:spacing w:after="0" w:before="0" w:line="252"/>
            </w:pPr>
          </w:p>
        </w:tc>
        <w:tc>
          <w:tcPr>
            <w:tcW w:type="dxa" w:w="1664"/>
            <w:tcMar>
              <w:top w:type="dxa" w:w="60"/>
              <w:left w:type="dxa" w:w="100"/>
              <w:bottom w:type="dxa" w:w="60"/>
              <w:right w:type="dxa" w:w="100"/>
            </w:tcMar>
            <w:vAlign w:val="top"/>
          </w:tcPr>
          <w:p>
            <w:pPr>
              <w:spacing w:after="0" w:before="0" w:line="252"/>
            </w:pPr>
          </w:p>
        </w:tc>
      </w:tr>
    </w:tbl>
    <w:p>
      <w:pPr>
        <w:spacing w:after="120"/>
      </w:pPr>
    </w:p>
    <w:p>
      <w:pPr>
        <w:pStyle w:val="Heading3"/>
        <w:keepNext/>
      </w:pPr>
      <w:r>
        <w:rPr>
          <w:rFonts w:ascii="Calibri" w:cs="Calibri" w:eastAsia="Calibri" w:hAnsi="Calibri"/>
        </w:rPr>
        <w:t xml:space="preserve">Autonomy by agent</w:t>
      </w:r>
    </w:p>
    <w:tbl>
      <w:tblPr>
        <w:tblW w:type="dxa" w:w="9360"/>
        <w:tblBorders>
          <w:top w:val="single" w:color="CBD5E1" w:sz="4"/>
          <w:left w:val="single" w:color="CBD5E1" w:sz="4"/>
          <w:bottom w:val="single" w:color="CBD5E1" w:sz="4"/>
          <w:right w:val="single" w:color="CBD5E1" w:sz="4"/>
          <w:insideH w:val="single" w:color="CBD5E1" w:sz="4"/>
          <w:insideV w:val="single" w:color="CBD5E1" w:sz="4"/>
        </w:tblBorders>
        <w:tblLayout w:type="fixed"/>
      </w:tblPr>
      <w:tblGrid>
        <w:gridCol w:w="1741"/>
        <w:gridCol w:w="1715"/>
        <w:gridCol w:w="1878"/>
        <w:gridCol w:w="2059"/>
        <w:gridCol w:w="1967"/>
      </w:tblGrid>
      <w:tr>
        <w:trPr>
          <w:cantSplit/>
          <w:tblHeader/>
        </w:trPr>
        <w:tc>
          <w:tcPr>
            <w:tcW w:type="dxa" w:w="1741"/>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Agent</w:t>
            </w:r>
          </w:p>
        </w:tc>
        <w:tc>
          <w:tcPr>
            <w:tcW w:type="dxa" w:w="1715"/>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Tier</w:t>
            </w:r>
          </w:p>
        </w:tc>
        <w:tc>
          <w:tcPr>
            <w:tcW w:type="dxa" w:w="1878"/>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Human role</w:t>
            </w:r>
          </w:p>
        </w:tc>
        <w:tc>
          <w:tcPr>
            <w:tcW w:type="dxa" w:w="2059"/>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Approval bound to</w:t>
            </w:r>
          </w:p>
        </w:tc>
        <w:tc>
          <w:tcPr>
            <w:tcW w:type="dxa" w:w="1967"/>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Limits and kill switch</w:t>
            </w:r>
          </w:p>
        </w:tc>
      </w:tr>
      <w:tr>
        <w:trPr>
          <w:cantSplit/>
          <w:tblHeader w:val="false"/>
        </w:trPr>
        <w:tc>
          <w:tcPr>
            <w:tcW w:type="dxa" w:w="1741"/>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[Agent]</w:t>
            </w:r>
          </w:p>
        </w:tc>
        <w:tc>
          <w:tcPr>
            <w:tcW w:type="dxa" w:w="1715"/>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[Tier]</w:t>
            </w:r>
          </w:p>
        </w:tc>
        <w:tc>
          <w:tcPr>
            <w:tcW w:type="dxa" w:w="1878"/>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[Who decides]</w:t>
            </w:r>
          </w:p>
        </w:tc>
        <w:tc>
          <w:tcPr>
            <w:tcW w:type="dxa" w:w="2059"/>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[Action and validity]</w:t>
            </w:r>
          </w:p>
        </w:tc>
        <w:tc>
          <w:tcPr>
            <w:tcW w:type="dxa" w:w="1967"/>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[Limits]</w:t>
            </w:r>
          </w:p>
        </w:tc>
      </w:tr>
      <w:tr>
        <w:trPr>
          <w:cantSplit/>
          <w:tblHeader w:val="false"/>
          <w:trHeight w:val="400" w:hRule="atLeast"/>
        </w:trPr>
        <w:tc>
          <w:tcPr>
            <w:tcW w:type="dxa" w:w="1741"/>
            <w:tcMar>
              <w:top w:type="dxa" w:w="60"/>
              <w:left w:type="dxa" w:w="100"/>
              <w:bottom w:type="dxa" w:w="60"/>
              <w:right w:type="dxa" w:w="100"/>
            </w:tcMar>
            <w:vAlign w:val="top"/>
          </w:tcPr>
          <w:p>
            <w:pPr>
              <w:spacing w:after="0" w:before="0" w:line="252"/>
            </w:pPr>
          </w:p>
        </w:tc>
        <w:tc>
          <w:tcPr>
            <w:tcW w:type="dxa" w:w="1715"/>
            <w:tcMar>
              <w:top w:type="dxa" w:w="60"/>
              <w:left w:type="dxa" w:w="100"/>
              <w:bottom w:type="dxa" w:w="60"/>
              <w:right w:type="dxa" w:w="100"/>
            </w:tcMar>
            <w:vAlign w:val="top"/>
          </w:tcPr>
          <w:p>
            <w:pPr>
              <w:spacing w:after="0" w:before="0" w:line="252"/>
            </w:pPr>
          </w:p>
        </w:tc>
        <w:tc>
          <w:tcPr>
            <w:tcW w:type="dxa" w:w="1878"/>
            <w:tcMar>
              <w:top w:type="dxa" w:w="60"/>
              <w:left w:type="dxa" w:w="100"/>
              <w:bottom w:type="dxa" w:w="60"/>
              <w:right w:type="dxa" w:w="100"/>
            </w:tcMar>
            <w:vAlign w:val="top"/>
          </w:tcPr>
          <w:p>
            <w:pPr>
              <w:spacing w:after="0" w:before="0" w:line="252"/>
            </w:pPr>
          </w:p>
        </w:tc>
        <w:tc>
          <w:tcPr>
            <w:tcW w:type="dxa" w:w="2059"/>
            <w:tcMar>
              <w:top w:type="dxa" w:w="60"/>
              <w:left w:type="dxa" w:w="100"/>
              <w:bottom w:type="dxa" w:w="60"/>
              <w:right w:type="dxa" w:w="100"/>
            </w:tcMar>
            <w:vAlign w:val="top"/>
          </w:tcPr>
          <w:p>
            <w:pPr>
              <w:spacing w:after="0" w:before="0" w:line="252"/>
            </w:pPr>
          </w:p>
        </w:tc>
        <w:tc>
          <w:tcPr>
            <w:tcW w:type="dxa" w:w="1967"/>
            <w:tcMar>
              <w:top w:type="dxa" w:w="60"/>
              <w:left w:type="dxa" w:w="100"/>
              <w:bottom w:type="dxa" w:w="60"/>
              <w:right w:type="dxa" w:w="100"/>
            </w:tcMar>
            <w:vAlign w:val="top"/>
          </w:tcPr>
          <w:p>
            <w:pPr>
              <w:spacing w:after="0" w:before="0" w:line="252"/>
            </w:pPr>
          </w:p>
        </w:tc>
      </w:tr>
      <w:tr>
        <w:trPr>
          <w:cantSplit/>
          <w:tblHeader w:val="false"/>
          <w:trHeight w:val="400" w:hRule="atLeast"/>
        </w:trPr>
        <w:tc>
          <w:tcPr>
            <w:tcW w:type="dxa" w:w="1741"/>
            <w:tcMar>
              <w:top w:type="dxa" w:w="60"/>
              <w:left w:type="dxa" w:w="100"/>
              <w:bottom w:type="dxa" w:w="60"/>
              <w:right w:type="dxa" w:w="100"/>
            </w:tcMar>
            <w:vAlign w:val="top"/>
          </w:tcPr>
          <w:p>
            <w:pPr>
              <w:spacing w:after="0" w:before="0" w:line="252"/>
            </w:pPr>
          </w:p>
        </w:tc>
        <w:tc>
          <w:tcPr>
            <w:tcW w:type="dxa" w:w="1715"/>
            <w:tcMar>
              <w:top w:type="dxa" w:w="60"/>
              <w:left w:type="dxa" w:w="100"/>
              <w:bottom w:type="dxa" w:w="60"/>
              <w:right w:type="dxa" w:w="100"/>
            </w:tcMar>
            <w:vAlign w:val="top"/>
          </w:tcPr>
          <w:p>
            <w:pPr>
              <w:spacing w:after="0" w:before="0" w:line="252"/>
            </w:pPr>
          </w:p>
        </w:tc>
        <w:tc>
          <w:tcPr>
            <w:tcW w:type="dxa" w:w="1878"/>
            <w:tcMar>
              <w:top w:type="dxa" w:w="60"/>
              <w:left w:type="dxa" w:w="100"/>
              <w:bottom w:type="dxa" w:w="60"/>
              <w:right w:type="dxa" w:w="100"/>
            </w:tcMar>
            <w:vAlign w:val="top"/>
          </w:tcPr>
          <w:p>
            <w:pPr>
              <w:spacing w:after="0" w:before="0" w:line="252"/>
            </w:pPr>
          </w:p>
        </w:tc>
        <w:tc>
          <w:tcPr>
            <w:tcW w:type="dxa" w:w="2059"/>
            <w:tcMar>
              <w:top w:type="dxa" w:w="60"/>
              <w:left w:type="dxa" w:w="100"/>
              <w:bottom w:type="dxa" w:w="60"/>
              <w:right w:type="dxa" w:w="100"/>
            </w:tcMar>
            <w:vAlign w:val="top"/>
          </w:tcPr>
          <w:p>
            <w:pPr>
              <w:spacing w:after="0" w:before="0" w:line="252"/>
            </w:pPr>
          </w:p>
        </w:tc>
        <w:tc>
          <w:tcPr>
            <w:tcW w:type="dxa" w:w="1967"/>
            <w:tcMar>
              <w:top w:type="dxa" w:w="60"/>
              <w:left w:type="dxa" w:w="100"/>
              <w:bottom w:type="dxa" w:w="60"/>
              <w:right w:type="dxa" w:w="100"/>
            </w:tcMar>
            <w:vAlign w:val="top"/>
          </w:tcPr>
          <w:p>
            <w:pPr>
              <w:spacing w:after="0" w:before="0" w:line="252"/>
            </w:pPr>
          </w:p>
        </w:tc>
      </w:tr>
      <w:tr>
        <w:trPr>
          <w:cantSplit/>
          <w:tblHeader w:val="false"/>
          <w:trHeight w:val="400" w:hRule="atLeast"/>
        </w:trPr>
        <w:tc>
          <w:tcPr>
            <w:tcW w:type="dxa" w:w="1741"/>
            <w:tcMar>
              <w:top w:type="dxa" w:w="60"/>
              <w:left w:type="dxa" w:w="100"/>
              <w:bottom w:type="dxa" w:w="60"/>
              <w:right w:type="dxa" w:w="100"/>
            </w:tcMar>
            <w:vAlign w:val="top"/>
          </w:tcPr>
          <w:p>
            <w:pPr>
              <w:spacing w:after="0" w:before="0" w:line="252"/>
            </w:pPr>
          </w:p>
        </w:tc>
        <w:tc>
          <w:tcPr>
            <w:tcW w:type="dxa" w:w="1715"/>
            <w:tcMar>
              <w:top w:type="dxa" w:w="60"/>
              <w:left w:type="dxa" w:w="100"/>
              <w:bottom w:type="dxa" w:w="60"/>
              <w:right w:type="dxa" w:w="100"/>
            </w:tcMar>
            <w:vAlign w:val="top"/>
          </w:tcPr>
          <w:p>
            <w:pPr>
              <w:spacing w:after="0" w:before="0" w:line="252"/>
            </w:pPr>
          </w:p>
        </w:tc>
        <w:tc>
          <w:tcPr>
            <w:tcW w:type="dxa" w:w="1878"/>
            <w:tcMar>
              <w:top w:type="dxa" w:w="60"/>
              <w:left w:type="dxa" w:w="100"/>
              <w:bottom w:type="dxa" w:w="60"/>
              <w:right w:type="dxa" w:w="100"/>
            </w:tcMar>
            <w:vAlign w:val="top"/>
          </w:tcPr>
          <w:p>
            <w:pPr>
              <w:spacing w:after="0" w:before="0" w:line="252"/>
            </w:pPr>
          </w:p>
        </w:tc>
        <w:tc>
          <w:tcPr>
            <w:tcW w:type="dxa" w:w="2059"/>
            <w:tcMar>
              <w:top w:type="dxa" w:w="60"/>
              <w:left w:type="dxa" w:w="100"/>
              <w:bottom w:type="dxa" w:w="60"/>
              <w:right w:type="dxa" w:w="100"/>
            </w:tcMar>
            <w:vAlign w:val="top"/>
          </w:tcPr>
          <w:p>
            <w:pPr>
              <w:spacing w:after="0" w:before="0" w:line="252"/>
            </w:pPr>
          </w:p>
        </w:tc>
        <w:tc>
          <w:tcPr>
            <w:tcW w:type="dxa" w:w="1967"/>
            <w:tcMar>
              <w:top w:type="dxa" w:w="60"/>
              <w:left w:type="dxa" w:w="100"/>
              <w:bottom w:type="dxa" w:w="60"/>
              <w:right w:type="dxa" w:w="100"/>
            </w:tcMar>
            <w:vAlign w:val="top"/>
          </w:tcPr>
          <w:p>
            <w:pPr>
              <w:spacing w:after="0" w:before="0" w:line="252"/>
            </w:pPr>
          </w:p>
        </w:tc>
      </w:tr>
    </w:tbl>
    <w:p>
      <w:pPr>
        <w:spacing w:after="120"/>
      </w:pPr>
    </w:p>
    <w:p>
      <w:pPr>
        <w:pStyle w:val="Heading3"/>
        <w:keepNext/>
      </w:pPr>
      <w:r>
        <w:rPr>
          <w:rFonts w:ascii="Calibri" w:cs="Calibri" w:eastAsia="Calibri" w:hAnsi="Calibri"/>
        </w:rPr>
        <w:t xml:space="preserve">Promotion and demotion</w:t>
      </w:r>
    </w:p>
    <w:tbl>
      <w:tblPr>
        <w:tblW w:type="dxa" w:w="9360"/>
        <w:tblBorders>
          <w:top w:val="single" w:color="CBD5E1" w:sz="4"/>
          <w:left w:val="single" w:color="CBD5E1" w:sz="4"/>
          <w:bottom w:val="single" w:color="CBD5E1" w:sz="4"/>
          <w:right w:val="single" w:color="CBD5E1" w:sz="4"/>
          <w:insideH w:val="single" w:color="CBD5E1" w:sz="4"/>
          <w:insideV w:val="single" w:color="CBD5E1" w:sz="4"/>
        </w:tblBorders>
        <w:tblLayout w:type="fixed"/>
      </w:tblPr>
      <w:tblGrid>
        <w:gridCol w:w="1782"/>
        <w:gridCol w:w="1885"/>
        <w:gridCol w:w="2839"/>
        <w:gridCol w:w="2854"/>
      </w:tblGrid>
      <w:tr>
        <w:trPr>
          <w:cantSplit/>
          <w:tblHeader/>
        </w:trPr>
        <w:tc>
          <w:tcPr>
            <w:tcW w:type="dxa" w:w="1782"/>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Agent</w:t>
            </w:r>
          </w:p>
        </w:tc>
        <w:tc>
          <w:tcPr>
            <w:tcW w:type="dxa" w:w="1885"/>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Current tier</w:t>
            </w:r>
          </w:p>
        </w:tc>
        <w:tc>
          <w:tcPr>
            <w:tcW w:type="dxa" w:w="2839"/>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Evidence to promote</w:t>
            </w:r>
          </w:p>
        </w:tc>
        <w:tc>
          <w:tcPr>
            <w:tcW w:type="dxa" w:w="2854"/>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Demotion triggers</w:t>
            </w:r>
          </w:p>
        </w:tc>
      </w:tr>
      <w:tr>
        <w:trPr>
          <w:cantSplit/>
          <w:tblHeader w:val="false"/>
        </w:trPr>
        <w:tc>
          <w:tcPr>
            <w:tcW w:type="dxa" w:w="1782"/>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[Agent]</w:t>
            </w:r>
          </w:p>
        </w:tc>
        <w:tc>
          <w:tcPr>
            <w:tcW w:type="dxa" w:w="1885"/>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[Tier]</w:t>
            </w:r>
          </w:p>
        </w:tc>
        <w:tc>
          <w:tcPr>
            <w:tcW w:type="dxa" w:w="2839"/>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[Evaluations, red-team findings, impact assessment, sign-off]</w:t>
            </w:r>
          </w:p>
        </w:tc>
        <w:tc>
          <w:tcPr>
            <w:tcW w:type="dxa" w:w="2854"/>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[Security event, failed binding check, stale data, lost sponsor]</w:t>
            </w:r>
          </w:p>
        </w:tc>
      </w:tr>
      <w:tr>
        <w:trPr>
          <w:cantSplit/>
          <w:tblHeader w:val="false"/>
          <w:trHeight w:val="400" w:hRule="atLeast"/>
        </w:trPr>
        <w:tc>
          <w:tcPr>
            <w:tcW w:type="dxa" w:w="1782"/>
            <w:tcMar>
              <w:top w:type="dxa" w:w="60"/>
              <w:left w:type="dxa" w:w="100"/>
              <w:bottom w:type="dxa" w:w="60"/>
              <w:right w:type="dxa" w:w="100"/>
            </w:tcMar>
            <w:vAlign w:val="top"/>
          </w:tcPr>
          <w:p>
            <w:pPr>
              <w:spacing w:after="0" w:before="0" w:line="252"/>
            </w:pPr>
          </w:p>
        </w:tc>
        <w:tc>
          <w:tcPr>
            <w:tcW w:type="dxa" w:w="1885"/>
            <w:tcMar>
              <w:top w:type="dxa" w:w="60"/>
              <w:left w:type="dxa" w:w="100"/>
              <w:bottom w:type="dxa" w:w="60"/>
              <w:right w:type="dxa" w:w="100"/>
            </w:tcMar>
            <w:vAlign w:val="top"/>
          </w:tcPr>
          <w:p>
            <w:pPr>
              <w:spacing w:after="0" w:before="0" w:line="252"/>
            </w:pPr>
          </w:p>
        </w:tc>
        <w:tc>
          <w:tcPr>
            <w:tcW w:type="dxa" w:w="2839"/>
            <w:tcMar>
              <w:top w:type="dxa" w:w="60"/>
              <w:left w:type="dxa" w:w="100"/>
              <w:bottom w:type="dxa" w:w="60"/>
              <w:right w:type="dxa" w:w="100"/>
            </w:tcMar>
            <w:vAlign w:val="top"/>
          </w:tcPr>
          <w:p>
            <w:pPr>
              <w:spacing w:after="0" w:before="0" w:line="252"/>
            </w:pPr>
          </w:p>
        </w:tc>
        <w:tc>
          <w:tcPr>
            <w:tcW w:type="dxa" w:w="2854"/>
            <w:tcMar>
              <w:top w:type="dxa" w:w="60"/>
              <w:left w:type="dxa" w:w="100"/>
              <w:bottom w:type="dxa" w:w="60"/>
              <w:right w:type="dxa" w:w="100"/>
            </w:tcMar>
            <w:vAlign w:val="top"/>
          </w:tcPr>
          <w:p>
            <w:pPr>
              <w:spacing w:after="0" w:before="0" w:line="252"/>
            </w:pPr>
          </w:p>
        </w:tc>
      </w:tr>
      <w:tr>
        <w:trPr>
          <w:cantSplit/>
          <w:tblHeader w:val="false"/>
          <w:trHeight w:val="400" w:hRule="atLeast"/>
        </w:trPr>
        <w:tc>
          <w:tcPr>
            <w:tcW w:type="dxa" w:w="1782"/>
            <w:tcMar>
              <w:top w:type="dxa" w:w="60"/>
              <w:left w:type="dxa" w:w="100"/>
              <w:bottom w:type="dxa" w:w="60"/>
              <w:right w:type="dxa" w:w="100"/>
            </w:tcMar>
            <w:vAlign w:val="top"/>
          </w:tcPr>
          <w:p>
            <w:pPr>
              <w:spacing w:after="0" w:before="0" w:line="252"/>
            </w:pPr>
          </w:p>
        </w:tc>
        <w:tc>
          <w:tcPr>
            <w:tcW w:type="dxa" w:w="1885"/>
            <w:tcMar>
              <w:top w:type="dxa" w:w="60"/>
              <w:left w:type="dxa" w:w="100"/>
              <w:bottom w:type="dxa" w:w="60"/>
              <w:right w:type="dxa" w:w="100"/>
            </w:tcMar>
            <w:vAlign w:val="top"/>
          </w:tcPr>
          <w:p>
            <w:pPr>
              <w:spacing w:after="0" w:before="0" w:line="252"/>
            </w:pPr>
          </w:p>
        </w:tc>
        <w:tc>
          <w:tcPr>
            <w:tcW w:type="dxa" w:w="2839"/>
            <w:tcMar>
              <w:top w:type="dxa" w:w="60"/>
              <w:left w:type="dxa" w:w="100"/>
              <w:bottom w:type="dxa" w:w="60"/>
              <w:right w:type="dxa" w:w="100"/>
            </w:tcMar>
            <w:vAlign w:val="top"/>
          </w:tcPr>
          <w:p>
            <w:pPr>
              <w:spacing w:after="0" w:before="0" w:line="252"/>
            </w:pPr>
          </w:p>
        </w:tc>
        <w:tc>
          <w:tcPr>
            <w:tcW w:type="dxa" w:w="2854"/>
            <w:tcMar>
              <w:top w:type="dxa" w:w="60"/>
              <w:left w:type="dxa" w:w="100"/>
              <w:bottom w:type="dxa" w:w="60"/>
              <w:right w:type="dxa" w:w="100"/>
            </w:tcMar>
            <w:vAlign w:val="top"/>
          </w:tcPr>
          <w:p>
            <w:pPr>
              <w:spacing w:after="0" w:before="0" w:line="252"/>
            </w:pPr>
          </w:p>
        </w:tc>
      </w:tr>
    </w:tbl>
    <w:p>
      <w:pPr>
        <w:spacing w:after="120"/>
      </w:pPr>
    </w:p>
    <w:p>
      <w:pPr>
        <w:pStyle w:val="Heading3"/>
        <w:keepNext/>
      </w:pPr>
      <w:r>
        <w:rPr>
          <w:rFonts w:ascii="Calibri" w:cs="Calibri" w:eastAsia="Calibri" w:hAnsi="Calibri"/>
        </w:rPr>
        <w:t xml:space="preserve">Human takeover</w:t>
      </w:r>
    </w:p>
    <w:tbl>
      <w:tblPr>
        <w:tblW w:type="dxa" w:w="9360"/>
        <w:tblBorders>
          <w:top w:val="single" w:color="CBD5E1" w:sz="4"/>
          <w:left w:val="single" w:color="CBD5E1" w:sz="4"/>
          <w:bottom w:val="single" w:color="CBD5E1" w:sz="4"/>
          <w:right w:val="single" w:color="CBD5E1" w:sz="4"/>
          <w:insideH w:val="single" w:color="CBD5E1" w:sz="4"/>
          <w:insideV w:val="single" w:color="CBD5E1" w:sz="4"/>
        </w:tblBorders>
        <w:tblLayout w:type="fixed"/>
      </w:tblPr>
      <w:tblGrid>
        <w:gridCol w:w="1717"/>
        <w:gridCol w:w="1650"/>
        <w:gridCol w:w="2263"/>
        <w:gridCol w:w="2215"/>
        <w:gridCol w:w="1515"/>
      </w:tblGrid>
      <w:tr>
        <w:trPr>
          <w:cantSplit/>
          <w:tblHeader/>
        </w:trPr>
        <w:tc>
          <w:tcPr>
            <w:tcW w:type="dxa" w:w="1717"/>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Agent</w:t>
            </w:r>
          </w:p>
        </w:tc>
        <w:tc>
          <w:tcPr>
            <w:tcW w:type="dxa" w:w="1650"/>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Who takes over</w:t>
            </w:r>
          </w:p>
        </w:tc>
        <w:tc>
          <w:tcPr>
            <w:tcW w:type="dxa" w:w="2263"/>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Information handed over</w:t>
            </w:r>
          </w:p>
        </w:tc>
        <w:tc>
          <w:tcPr>
            <w:tcW w:type="dxa" w:w="2215"/>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Degraded mode and service level</w:t>
            </w:r>
          </w:p>
        </w:tc>
        <w:tc>
          <w:tcPr>
            <w:tcW w:type="dxa" w:w="1515"/>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Last drill</w:t>
            </w:r>
          </w:p>
        </w:tc>
      </w:tr>
      <w:tr>
        <w:trPr>
          <w:cantSplit/>
          <w:tblHeader w:val="false"/>
        </w:trPr>
        <w:tc>
          <w:tcPr>
            <w:tcW w:type="dxa" w:w="1717"/>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[Agent at tier 3 or above]</w:t>
            </w:r>
          </w:p>
        </w:tc>
        <w:tc>
          <w:tcPr>
            <w:tcW w:type="dxa" w:w="1650"/>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[Named team]</w:t>
            </w:r>
          </w:p>
        </w:tc>
        <w:tc>
          <w:tcPr>
            <w:tcW w:type="dxa" w:w="2263"/>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[Trace, pending actions and approvals, data touched]</w:t>
            </w:r>
          </w:p>
        </w:tc>
        <w:tc>
          <w:tcPr>
            <w:tcW w:type="dxa" w:w="2215"/>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[Manual or deterministic; service level]</w:t>
            </w:r>
          </w:p>
        </w:tc>
        <w:tc>
          <w:tcPr>
            <w:tcW w:type="dxa" w:w="1515"/>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[Date]</w:t>
            </w:r>
          </w:p>
        </w:tc>
      </w:tr>
      <w:tr>
        <w:trPr>
          <w:cantSplit/>
          <w:tblHeader w:val="false"/>
          <w:trHeight w:val="400" w:hRule="atLeast"/>
        </w:trPr>
        <w:tc>
          <w:tcPr>
            <w:tcW w:type="dxa" w:w="1717"/>
            <w:tcMar>
              <w:top w:type="dxa" w:w="60"/>
              <w:left w:type="dxa" w:w="100"/>
              <w:bottom w:type="dxa" w:w="60"/>
              <w:right w:type="dxa" w:w="100"/>
            </w:tcMar>
            <w:vAlign w:val="top"/>
          </w:tcPr>
          <w:p>
            <w:pPr>
              <w:spacing w:after="0" w:before="0" w:line="252"/>
            </w:pPr>
          </w:p>
        </w:tc>
        <w:tc>
          <w:tcPr>
            <w:tcW w:type="dxa" w:w="1650"/>
            <w:tcMar>
              <w:top w:type="dxa" w:w="60"/>
              <w:left w:type="dxa" w:w="100"/>
              <w:bottom w:type="dxa" w:w="60"/>
              <w:right w:type="dxa" w:w="100"/>
            </w:tcMar>
            <w:vAlign w:val="top"/>
          </w:tcPr>
          <w:p>
            <w:pPr>
              <w:spacing w:after="0" w:before="0" w:line="252"/>
            </w:pPr>
          </w:p>
        </w:tc>
        <w:tc>
          <w:tcPr>
            <w:tcW w:type="dxa" w:w="2263"/>
            <w:tcMar>
              <w:top w:type="dxa" w:w="60"/>
              <w:left w:type="dxa" w:w="100"/>
              <w:bottom w:type="dxa" w:w="60"/>
              <w:right w:type="dxa" w:w="100"/>
            </w:tcMar>
            <w:vAlign w:val="top"/>
          </w:tcPr>
          <w:p>
            <w:pPr>
              <w:spacing w:after="0" w:before="0" w:line="252"/>
            </w:pPr>
          </w:p>
        </w:tc>
        <w:tc>
          <w:tcPr>
            <w:tcW w:type="dxa" w:w="2215"/>
            <w:tcMar>
              <w:top w:type="dxa" w:w="60"/>
              <w:left w:type="dxa" w:w="100"/>
              <w:bottom w:type="dxa" w:w="60"/>
              <w:right w:type="dxa" w:w="100"/>
            </w:tcMar>
            <w:vAlign w:val="top"/>
          </w:tcPr>
          <w:p>
            <w:pPr>
              <w:spacing w:after="0" w:before="0" w:line="252"/>
            </w:pPr>
          </w:p>
        </w:tc>
        <w:tc>
          <w:tcPr>
            <w:tcW w:type="dxa" w:w="1515"/>
            <w:tcMar>
              <w:top w:type="dxa" w:w="60"/>
              <w:left w:type="dxa" w:w="100"/>
              <w:bottom w:type="dxa" w:w="60"/>
              <w:right w:type="dxa" w:w="100"/>
            </w:tcMar>
            <w:vAlign w:val="top"/>
          </w:tcPr>
          <w:p>
            <w:pPr>
              <w:spacing w:after="0" w:before="0" w:line="252"/>
            </w:pPr>
          </w:p>
        </w:tc>
      </w:tr>
      <w:tr>
        <w:trPr>
          <w:cantSplit/>
          <w:tblHeader w:val="false"/>
          <w:trHeight w:val="400" w:hRule="atLeast"/>
        </w:trPr>
        <w:tc>
          <w:tcPr>
            <w:tcW w:type="dxa" w:w="1717"/>
            <w:tcMar>
              <w:top w:type="dxa" w:w="60"/>
              <w:left w:type="dxa" w:w="100"/>
              <w:bottom w:type="dxa" w:w="60"/>
              <w:right w:type="dxa" w:w="100"/>
            </w:tcMar>
            <w:vAlign w:val="top"/>
          </w:tcPr>
          <w:p>
            <w:pPr>
              <w:spacing w:after="0" w:before="0" w:line="252"/>
            </w:pPr>
          </w:p>
        </w:tc>
        <w:tc>
          <w:tcPr>
            <w:tcW w:type="dxa" w:w="1650"/>
            <w:tcMar>
              <w:top w:type="dxa" w:w="60"/>
              <w:left w:type="dxa" w:w="100"/>
              <w:bottom w:type="dxa" w:w="60"/>
              <w:right w:type="dxa" w:w="100"/>
            </w:tcMar>
            <w:vAlign w:val="top"/>
          </w:tcPr>
          <w:p>
            <w:pPr>
              <w:spacing w:after="0" w:before="0" w:line="252"/>
            </w:pPr>
          </w:p>
        </w:tc>
        <w:tc>
          <w:tcPr>
            <w:tcW w:type="dxa" w:w="2263"/>
            <w:tcMar>
              <w:top w:type="dxa" w:w="60"/>
              <w:left w:type="dxa" w:w="100"/>
              <w:bottom w:type="dxa" w:w="60"/>
              <w:right w:type="dxa" w:w="100"/>
            </w:tcMar>
            <w:vAlign w:val="top"/>
          </w:tcPr>
          <w:p>
            <w:pPr>
              <w:spacing w:after="0" w:before="0" w:line="252"/>
            </w:pPr>
          </w:p>
        </w:tc>
        <w:tc>
          <w:tcPr>
            <w:tcW w:type="dxa" w:w="2215"/>
            <w:tcMar>
              <w:top w:type="dxa" w:w="60"/>
              <w:left w:type="dxa" w:w="100"/>
              <w:bottom w:type="dxa" w:w="60"/>
              <w:right w:type="dxa" w:w="100"/>
            </w:tcMar>
            <w:vAlign w:val="top"/>
          </w:tcPr>
          <w:p>
            <w:pPr>
              <w:spacing w:after="0" w:before="0" w:line="252"/>
            </w:pPr>
          </w:p>
        </w:tc>
        <w:tc>
          <w:tcPr>
            <w:tcW w:type="dxa" w:w="1515"/>
            <w:tcMar>
              <w:top w:type="dxa" w:w="60"/>
              <w:left w:type="dxa" w:w="100"/>
              <w:bottom w:type="dxa" w:w="60"/>
              <w:right w:type="dxa" w:w="100"/>
            </w:tcMar>
            <w:vAlign w:val="top"/>
          </w:tcPr>
          <w:p>
            <w:pPr>
              <w:spacing w:after="0" w:before="0" w:line="252"/>
            </w:pPr>
          </w:p>
        </w:tc>
      </w:tr>
    </w:tbl>
    <w:p>
      <w:pPr>
        <w:spacing w:after="120"/>
      </w:pPr>
    </w:p>
    <w:p>
      <w:pPr>
        <w:pStyle w:val="Heading3"/>
        <w:keepNext/>
      </w:pPr>
      <w:r>
        <w:rPr>
          <w:rFonts w:ascii="Calibri" w:cs="Calibri" w:eastAsia="Calibri" w:hAnsi="Calibri"/>
        </w:rPr>
        <w:t xml:space="preserve">Threat coverage</w:t>
      </w:r>
    </w:p>
    <w:tbl>
      <w:tblPr>
        <w:tblW w:type="dxa" w:w="9360"/>
        <w:tblBorders>
          <w:top w:val="single" w:color="CBD5E1" w:sz="4"/>
          <w:left w:val="single" w:color="CBD5E1" w:sz="4"/>
          <w:bottom w:val="single" w:color="CBD5E1" w:sz="4"/>
          <w:right w:val="single" w:color="CBD5E1" w:sz="4"/>
          <w:insideH w:val="single" w:color="CBD5E1" w:sz="4"/>
          <w:insideV w:val="single" w:color="CBD5E1" w:sz="4"/>
        </w:tblBorders>
        <w:tblLayout w:type="fixed"/>
      </w:tblPr>
      <w:tblGrid>
        <w:gridCol w:w="3370"/>
        <w:gridCol w:w="2998"/>
        <w:gridCol w:w="2992"/>
      </w:tblGrid>
      <w:tr>
        <w:trPr>
          <w:cantSplit/>
          <w:tblHeader/>
        </w:trPr>
        <w:tc>
          <w:tcPr>
            <w:tcW w:type="dxa" w:w="3370"/>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OWASP agentic risk</w:t>
            </w:r>
          </w:p>
        </w:tc>
        <w:tc>
          <w:tcPr>
            <w:tcW w:type="dxa" w:w="2998"/>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Controls in this design</w:t>
            </w:r>
          </w:p>
        </w:tc>
        <w:tc>
          <w:tcPr>
            <w:tcW w:type="dxa" w:w="2992"/>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Residual gap and owner</w:t>
            </w:r>
          </w:p>
        </w:tc>
      </w:tr>
      <w:tr>
        <w:trPr>
          <w:cantSplit/>
          <w:tblHeader w:val="false"/>
        </w:trPr>
        <w:tc>
          <w:tcPr>
            <w:tcW w:type="dxa" w:w="3370"/>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ASI01 Agent Goal Hijack</w:t>
            </w:r>
          </w:p>
        </w:tc>
        <w:tc>
          <w:tcPr>
            <w:tcW w:type="dxa" w:w="2998"/>
            <w:tcMar>
              <w:top w:type="dxa" w:w="60"/>
              <w:left w:type="dxa" w:w="100"/>
              <w:bottom w:type="dxa" w:w="60"/>
              <w:right w:type="dxa" w:w="100"/>
            </w:tcMar>
            <w:vAlign w:val="top"/>
          </w:tcPr>
          <w:p>
            <w:pPr>
              <w:spacing w:after="0" w:before="0" w:line="252"/>
            </w:pPr>
          </w:p>
        </w:tc>
        <w:tc>
          <w:tcPr>
            <w:tcW w:type="dxa" w:w="2992"/>
            <w:tcMar>
              <w:top w:type="dxa" w:w="60"/>
              <w:left w:type="dxa" w:w="100"/>
              <w:bottom w:type="dxa" w:w="60"/>
              <w:right w:type="dxa" w:w="100"/>
            </w:tcMar>
            <w:vAlign w:val="top"/>
          </w:tcPr>
          <w:p>
            <w:pPr>
              <w:spacing w:after="0" w:before="0" w:line="252"/>
            </w:pPr>
          </w:p>
        </w:tc>
      </w:tr>
      <w:tr>
        <w:trPr>
          <w:cantSplit/>
          <w:tblHeader w:val="false"/>
        </w:trPr>
        <w:tc>
          <w:tcPr>
            <w:tcW w:type="dxa" w:w="3370"/>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ASI02 Tool Misuse</w:t>
            </w:r>
          </w:p>
        </w:tc>
        <w:tc>
          <w:tcPr>
            <w:tcW w:type="dxa" w:w="2998"/>
            <w:tcMar>
              <w:top w:type="dxa" w:w="60"/>
              <w:left w:type="dxa" w:w="100"/>
              <w:bottom w:type="dxa" w:w="60"/>
              <w:right w:type="dxa" w:w="100"/>
            </w:tcMar>
            <w:vAlign w:val="top"/>
          </w:tcPr>
          <w:p>
            <w:pPr>
              <w:spacing w:after="0" w:before="0" w:line="252"/>
            </w:pPr>
          </w:p>
        </w:tc>
        <w:tc>
          <w:tcPr>
            <w:tcW w:type="dxa" w:w="2992"/>
            <w:tcMar>
              <w:top w:type="dxa" w:w="60"/>
              <w:left w:type="dxa" w:w="100"/>
              <w:bottom w:type="dxa" w:w="60"/>
              <w:right w:type="dxa" w:w="100"/>
            </w:tcMar>
            <w:vAlign w:val="top"/>
          </w:tcPr>
          <w:p>
            <w:pPr>
              <w:spacing w:after="0" w:before="0" w:line="252"/>
            </w:pPr>
          </w:p>
        </w:tc>
      </w:tr>
      <w:tr>
        <w:trPr>
          <w:cantSplit/>
          <w:tblHeader w:val="false"/>
        </w:trPr>
        <w:tc>
          <w:tcPr>
            <w:tcW w:type="dxa" w:w="3370"/>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ASI03 Identity &amp; Privilege Abuse</w:t>
            </w:r>
          </w:p>
        </w:tc>
        <w:tc>
          <w:tcPr>
            <w:tcW w:type="dxa" w:w="2998"/>
            <w:tcMar>
              <w:top w:type="dxa" w:w="60"/>
              <w:left w:type="dxa" w:w="100"/>
              <w:bottom w:type="dxa" w:w="60"/>
              <w:right w:type="dxa" w:w="100"/>
            </w:tcMar>
            <w:vAlign w:val="top"/>
          </w:tcPr>
          <w:p>
            <w:pPr>
              <w:spacing w:after="0" w:before="0" w:line="252"/>
            </w:pPr>
          </w:p>
        </w:tc>
        <w:tc>
          <w:tcPr>
            <w:tcW w:type="dxa" w:w="2992"/>
            <w:tcMar>
              <w:top w:type="dxa" w:w="60"/>
              <w:left w:type="dxa" w:w="100"/>
              <w:bottom w:type="dxa" w:w="60"/>
              <w:right w:type="dxa" w:w="100"/>
            </w:tcMar>
            <w:vAlign w:val="top"/>
          </w:tcPr>
          <w:p>
            <w:pPr>
              <w:spacing w:after="0" w:before="0" w:line="252"/>
            </w:pPr>
          </w:p>
        </w:tc>
      </w:tr>
      <w:tr>
        <w:trPr>
          <w:cantSplit/>
          <w:tblHeader w:val="false"/>
        </w:trPr>
        <w:tc>
          <w:tcPr>
            <w:tcW w:type="dxa" w:w="3370"/>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ASI04 Agentic Supply Chain Vulnerabilities</w:t>
            </w:r>
          </w:p>
        </w:tc>
        <w:tc>
          <w:tcPr>
            <w:tcW w:type="dxa" w:w="2998"/>
            <w:tcMar>
              <w:top w:type="dxa" w:w="60"/>
              <w:left w:type="dxa" w:w="100"/>
              <w:bottom w:type="dxa" w:w="60"/>
              <w:right w:type="dxa" w:w="100"/>
            </w:tcMar>
            <w:vAlign w:val="top"/>
          </w:tcPr>
          <w:p>
            <w:pPr>
              <w:spacing w:after="0" w:before="0" w:line="252"/>
            </w:pPr>
          </w:p>
        </w:tc>
        <w:tc>
          <w:tcPr>
            <w:tcW w:type="dxa" w:w="2992"/>
            <w:tcMar>
              <w:top w:type="dxa" w:w="60"/>
              <w:left w:type="dxa" w:w="100"/>
              <w:bottom w:type="dxa" w:w="60"/>
              <w:right w:type="dxa" w:w="100"/>
            </w:tcMar>
            <w:vAlign w:val="top"/>
          </w:tcPr>
          <w:p>
            <w:pPr>
              <w:spacing w:after="0" w:before="0" w:line="252"/>
            </w:pPr>
          </w:p>
        </w:tc>
      </w:tr>
      <w:tr>
        <w:trPr>
          <w:cantSplit/>
          <w:tblHeader w:val="false"/>
        </w:trPr>
        <w:tc>
          <w:tcPr>
            <w:tcW w:type="dxa" w:w="3370"/>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ASI05 Unexpected Code Execution</w:t>
            </w:r>
          </w:p>
        </w:tc>
        <w:tc>
          <w:tcPr>
            <w:tcW w:type="dxa" w:w="2998"/>
            <w:tcMar>
              <w:top w:type="dxa" w:w="60"/>
              <w:left w:type="dxa" w:w="100"/>
              <w:bottom w:type="dxa" w:w="60"/>
              <w:right w:type="dxa" w:w="100"/>
            </w:tcMar>
            <w:vAlign w:val="top"/>
          </w:tcPr>
          <w:p>
            <w:pPr>
              <w:spacing w:after="0" w:before="0" w:line="252"/>
            </w:pPr>
          </w:p>
        </w:tc>
        <w:tc>
          <w:tcPr>
            <w:tcW w:type="dxa" w:w="2992"/>
            <w:tcMar>
              <w:top w:type="dxa" w:w="60"/>
              <w:left w:type="dxa" w:w="100"/>
              <w:bottom w:type="dxa" w:w="60"/>
              <w:right w:type="dxa" w:w="100"/>
            </w:tcMar>
            <w:vAlign w:val="top"/>
          </w:tcPr>
          <w:p>
            <w:pPr>
              <w:spacing w:after="0" w:before="0" w:line="252"/>
            </w:pPr>
          </w:p>
        </w:tc>
      </w:tr>
      <w:tr>
        <w:trPr>
          <w:cantSplit/>
          <w:tblHeader w:val="false"/>
        </w:trPr>
        <w:tc>
          <w:tcPr>
            <w:tcW w:type="dxa" w:w="3370"/>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ASI06 Memory &amp; Context Poisoning</w:t>
            </w:r>
          </w:p>
        </w:tc>
        <w:tc>
          <w:tcPr>
            <w:tcW w:type="dxa" w:w="2998"/>
            <w:tcMar>
              <w:top w:type="dxa" w:w="60"/>
              <w:left w:type="dxa" w:w="100"/>
              <w:bottom w:type="dxa" w:w="60"/>
              <w:right w:type="dxa" w:w="100"/>
            </w:tcMar>
            <w:vAlign w:val="top"/>
          </w:tcPr>
          <w:p>
            <w:pPr>
              <w:spacing w:after="0" w:before="0" w:line="252"/>
            </w:pPr>
          </w:p>
        </w:tc>
        <w:tc>
          <w:tcPr>
            <w:tcW w:type="dxa" w:w="2992"/>
            <w:tcMar>
              <w:top w:type="dxa" w:w="60"/>
              <w:left w:type="dxa" w:w="100"/>
              <w:bottom w:type="dxa" w:w="60"/>
              <w:right w:type="dxa" w:w="100"/>
            </w:tcMar>
            <w:vAlign w:val="top"/>
          </w:tcPr>
          <w:p>
            <w:pPr>
              <w:spacing w:after="0" w:before="0" w:line="252"/>
            </w:pPr>
          </w:p>
        </w:tc>
      </w:tr>
      <w:tr>
        <w:trPr>
          <w:cantSplit/>
          <w:tblHeader w:val="false"/>
        </w:trPr>
        <w:tc>
          <w:tcPr>
            <w:tcW w:type="dxa" w:w="3370"/>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ASI07 Insecure Inter-Agent Communication</w:t>
            </w:r>
          </w:p>
        </w:tc>
        <w:tc>
          <w:tcPr>
            <w:tcW w:type="dxa" w:w="2998"/>
            <w:tcMar>
              <w:top w:type="dxa" w:w="60"/>
              <w:left w:type="dxa" w:w="100"/>
              <w:bottom w:type="dxa" w:w="60"/>
              <w:right w:type="dxa" w:w="100"/>
            </w:tcMar>
            <w:vAlign w:val="top"/>
          </w:tcPr>
          <w:p>
            <w:pPr>
              <w:spacing w:after="0" w:before="0" w:line="252"/>
            </w:pPr>
          </w:p>
        </w:tc>
        <w:tc>
          <w:tcPr>
            <w:tcW w:type="dxa" w:w="2992"/>
            <w:tcMar>
              <w:top w:type="dxa" w:w="60"/>
              <w:left w:type="dxa" w:w="100"/>
              <w:bottom w:type="dxa" w:w="60"/>
              <w:right w:type="dxa" w:w="100"/>
            </w:tcMar>
            <w:vAlign w:val="top"/>
          </w:tcPr>
          <w:p>
            <w:pPr>
              <w:spacing w:after="0" w:before="0" w:line="252"/>
            </w:pPr>
          </w:p>
        </w:tc>
      </w:tr>
      <w:tr>
        <w:trPr>
          <w:cantSplit/>
          <w:tblHeader w:val="false"/>
        </w:trPr>
        <w:tc>
          <w:tcPr>
            <w:tcW w:type="dxa" w:w="3370"/>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ASI08 Cascading Failures</w:t>
            </w:r>
          </w:p>
        </w:tc>
        <w:tc>
          <w:tcPr>
            <w:tcW w:type="dxa" w:w="2998"/>
            <w:tcMar>
              <w:top w:type="dxa" w:w="60"/>
              <w:left w:type="dxa" w:w="100"/>
              <w:bottom w:type="dxa" w:w="60"/>
              <w:right w:type="dxa" w:w="100"/>
            </w:tcMar>
            <w:vAlign w:val="top"/>
          </w:tcPr>
          <w:p>
            <w:pPr>
              <w:spacing w:after="0" w:before="0" w:line="252"/>
            </w:pPr>
          </w:p>
        </w:tc>
        <w:tc>
          <w:tcPr>
            <w:tcW w:type="dxa" w:w="2992"/>
            <w:tcMar>
              <w:top w:type="dxa" w:w="60"/>
              <w:left w:type="dxa" w:w="100"/>
              <w:bottom w:type="dxa" w:w="60"/>
              <w:right w:type="dxa" w:w="100"/>
            </w:tcMar>
            <w:vAlign w:val="top"/>
          </w:tcPr>
          <w:p>
            <w:pPr>
              <w:spacing w:after="0" w:before="0" w:line="252"/>
            </w:pPr>
          </w:p>
        </w:tc>
      </w:tr>
      <w:tr>
        <w:trPr>
          <w:cantSplit/>
          <w:tblHeader w:val="false"/>
        </w:trPr>
        <w:tc>
          <w:tcPr>
            <w:tcW w:type="dxa" w:w="3370"/>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ASI09 Human-Agent Trust Exploitation</w:t>
            </w:r>
          </w:p>
        </w:tc>
        <w:tc>
          <w:tcPr>
            <w:tcW w:type="dxa" w:w="2998"/>
            <w:tcMar>
              <w:top w:type="dxa" w:w="60"/>
              <w:left w:type="dxa" w:w="100"/>
              <w:bottom w:type="dxa" w:w="60"/>
              <w:right w:type="dxa" w:w="100"/>
            </w:tcMar>
            <w:vAlign w:val="top"/>
          </w:tcPr>
          <w:p>
            <w:pPr>
              <w:spacing w:after="0" w:before="0" w:line="252"/>
            </w:pPr>
          </w:p>
        </w:tc>
        <w:tc>
          <w:tcPr>
            <w:tcW w:type="dxa" w:w="2992"/>
            <w:tcMar>
              <w:top w:type="dxa" w:w="60"/>
              <w:left w:type="dxa" w:w="100"/>
              <w:bottom w:type="dxa" w:w="60"/>
              <w:right w:type="dxa" w:w="100"/>
            </w:tcMar>
            <w:vAlign w:val="top"/>
          </w:tcPr>
          <w:p>
            <w:pPr>
              <w:spacing w:after="0" w:before="0" w:line="252"/>
            </w:pPr>
          </w:p>
        </w:tc>
      </w:tr>
      <w:tr>
        <w:trPr>
          <w:cantSplit/>
          <w:tblHeader w:val="false"/>
        </w:trPr>
        <w:tc>
          <w:tcPr>
            <w:tcW w:type="dxa" w:w="3370"/>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ASI10 Rogue Agents</w:t>
            </w:r>
          </w:p>
        </w:tc>
        <w:tc>
          <w:tcPr>
            <w:tcW w:type="dxa" w:w="2998"/>
            <w:tcMar>
              <w:top w:type="dxa" w:w="60"/>
              <w:left w:type="dxa" w:w="100"/>
              <w:bottom w:type="dxa" w:w="60"/>
              <w:right w:type="dxa" w:w="100"/>
            </w:tcMar>
            <w:vAlign w:val="top"/>
          </w:tcPr>
          <w:p>
            <w:pPr>
              <w:spacing w:after="0" w:before="0" w:line="252"/>
            </w:pPr>
          </w:p>
        </w:tc>
        <w:tc>
          <w:tcPr>
            <w:tcW w:type="dxa" w:w="2992"/>
            <w:tcMar>
              <w:top w:type="dxa" w:w="60"/>
              <w:left w:type="dxa" w:w="100"/>
              <w:bottom w:type="dxa" w:w="60"/>
              <w:right w:type="dxa" w:w="100"/>
            </w:tcMar>
            <w:vAlign w:val="top"/>
          </w:tcPr>
          <w:p>
            <w:pPr>
              <w:spacing w:after="0" w:before="0" w:line="252"/>
            </w:pPr>
          </w:p>
        </w:tc>
      </w:tr>
    </w:tbl>
    <w:p>
      <w:pPr>
        <w:spacing w:after="120"/>
      </w:pPr>
    </w:p>
    <w:p>
      <w:pPr>
        <w:pStyle w:val="Heading3"/>
        <w:keepNext/>
      </w:pPr>
      <w:r>
        <w:rPr>
          <w:rFonts w:ascii="Calibri" w:cs="Calibri" w:eastAsia="Calibri" w:hAnsi="Calibri"/>
        </w:rPr>
        <w:t xml:space="preserve">Compliance and evidence</w:t>
      </w:r>
    </w:p>
    <w:tbl>
      <w:tblPr>
        <w:tblW w:type="dxa" w:w="9360"/>
        <w:tblBorders>
          <w:top w:val="single" w:color="CBD5E1" w:sz="4"/>
          <w:left w:val="single" w:color="CBD5E1" w:sz="4"/>
          <w:bottom w:val="single" w:color="CBD5E1" w:sz="4"/>
          <w:right w:val="single" w:color="CBD5E1" w:sz="4"/>
          <w:insideH w:val="single" w:color="CBD5E1" w:sz="4"/>
          <w:insideV w:val="single" w:color="CBD5E1" w:sz="4"/>
        </w:tblBorders>
        <w:tblLayout w:type="fixed"/>
      </w:tblPr>
      <w:tblGrid>
        <w:gridCol w:w="1975"/>
        <w:gridCol w:w="1901"/>
        <w:gridCol w:w="1871"/>
        <w:gridCol w:w="1989"/>
        <w:gridCol w:w="1624"/>
      </w:tblGrid>
      <w:tr>
        <w:trPr>
          <w:cantSplit/>
          <w:tblHeader/>
        </w:trPr>
        <w:tc>
          <w:tcPr>
            <w:tcW w:type="dxa" w:w="1975"/>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Obligation</w:t>
            </w:r>
          </w:p>
        </w:tc>
        <w:tc>
          <w:tcPr>
            <w:tcW w:type="dxa" w:w="1901"/>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Control ID</w:t>
            </w:r>
          </w:p>
        </w:tc>
        <w:tc>
          <w:tcPr>
            <w:tcW w:type="dxa" w:w="1871"/>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Evidence required</w:t>
            </w:r>
          </w:p>
        </w:tc>
        <w:tc>
          <w:tcPr>
            <w:tcW w:type="dxa" w:w="1989"/>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Where it is produced</w:t>
            </w:r>
          </w:p>
        </w:tc>
        <w:tc>
          <w:tcPr>
            <w:tcW w:type="dxa" w:w="1624"/>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Owner</w:t>
            </w:r>
          </w:p>
        </w:tc>
      </w:tr>
      <w:tr>
        <w:trPr>
          <w:cantSplit/>
          <w:tblHeader w:val="false"/>
        </w:trPr>
        <w:tc>
          <w:tcPr>
            <w:tcW w:type="dxa" w:w="1975"/>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[Regulation or standard]</w:t>
            </w:r>
          </w:p>
        </w:tc>
        <w:tc>
          <w:tcPr>
            <w:tcW w:type="dxa" w:w="1901"/>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[Clause or control]</w:t>
            </w:r>
          </w:p>
        </w:tc>
        <w:tc>
          <w:tcPr>
            <w:tcW w:type="dxa" w:w="1871"/>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[Evidence]</w:t>
            </w:r>
          </w:p>
        </w:tc>
        <w:tc>
          <w:tcPr>
            <w:tcW w:type="dxa" w:w="1989"/>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[System or log]</w:t>
            </w:r>
          </w:p>
        </w:tc>
        <w:tc>
          <w:tcPr>
            <w:tcW w:type="dxa" w:w="1624"/>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[Team]</w:t>
            </w:r>
          </w:p>
        </w:tc>
      </w:tr>
      <w:tr>
        <w:trPr>
          <w:cantSplit/>
          <w:tblHeader w:val="false"/>
          <w:trHeight w:val="400" w:hRule="atLeast"/>
        </w:trPr>
        <w:tc>
          <w:tcPr>
            <w:tcW w:type="dxa" w:w="1975"/>
            <w:tcMar>
              <w:top w:type="dxa" w:w="60"/>
              <w:left w:type="dxa" w:w="100"/>
              <w:bottom w:type="dxa" w:w="60"/>
              <w:right w:type="dxa" w:w="100"/>
            </w:tcMar>
            <w:vAlign w:val="top"/>
          </w:tcPr>
          <w:p>
            <w:pPr>
              <w:spacing w:after="0" w:before="0" w:line="252"/>
            </w:pPr>
          </w:p>
        </w:tc>
        <w:tc>
          <w:tcPr>
            <w:tcW w:type="dxa" w:w="1901"/>
            <w:tcMar>
              <w:top w:type="dxa" w:w="60"/>
              <w:left w:type="dxa" w:w="100"/>
              <w:bottom w:type="dxa" w:w="60"/>
              <w:right w:type="dxa" w:w="100"/>
            </w:tcMar>
            <w:vAlign w:val="top"/>
          </w:tcPr>
          <w:p>
            <w:pPr>
              <w:spacing w:after="0" w:before="0" w:line="252"/>
            </w:pPr>
          </w:p>
        </w:tc>
        <w:tc>
          <w:tcPr>
            <w:tcW w:type="dxa" w:w="1871"/>
            <w:tcMar>
              <w:top w:type="dxa" w:w="60"/>
              <w:left w:type="dxa" w:w="100"/>
              <w:bottom w:type="dxa" w:w="60"/>
              <w:right w:type="dxa" w:w="100"/>
            </w:tcMar>
            <w:vAlign w:val="top"/>
          </w:tcPr>
          <w:p>
            <w:pPr>
              <w:spacing w:after="0" w:before="0" w:line="252"/>
            </w:pPr>
          </w:p>
        </w:tc>
        <w:tc>
          <w:tcPr>
            <w:tcW w:type="dxa" w:w="1989"/>
            <w:tcMar>
              <w:top w:type="dxa" w:w="60"/>
              <w:left w:type="dxa" w:w="100"/>
              <w:bottom w:type="dxa" w:w="60"/>
              <w:right w:type="dxa" w:w="100"/>
            </w:tcMar>
            <w:vAlign w:val="top"/>
          </w:tcPr>
          <w:p>
            <w:pPr>
              <w:spacing w:after="0" w:before="0" w:line="252"/>
            </w:pPr>
          </w:p>
        </w:tc>
        <w:tc>
          <w:tcPr>
            <w:tcW w:type="dxa" w:w="1624"/>
            <w:tcMar>
              <w:top w:type="dxa" w:w="60"/>
              <w:left w:type="dxa" w:w="100"/>
              <w:bottom w:type="dxa" w:w="60"/>
              <w:right w:type="dxa" w:w="100"/>
            </w:tcMar>
            <w:vAlign w:val="top"/>
          </w:tcPr>
          <w:p>
            <w:pPr>
              <w:spacing w:after="0" w:before="0" w:line="252"/>
            </w:pPr>
          </w:p>
        </w:tc>
      </w:tr>
      <w:tr>
        <w:trPr>
          <w:cantSplit/>
          <w:tblHeader w:val="false"/>
          <w:trHeight w:val="400" w:hRule="atLeast"/>
        </w:trPr>
        <w:tc>
          <w:tcPr>
            <w:tcW w:type="dxa" w:w="1975"/>
            <w:tcMar>
              <w:top w:type="dxa" w:w="60"/>
              <w:left w:type="dxa" w:w="100"/>
              <w:bottom w:type="dxa" w:w="60"/>
              <w:right w:type="dxa" w:w="100"/>
            </w:tcMar>
            <w:vAlign w:val="top"/>
          </w:tcPr>
          <w:p>
            <w:pPr>
              <w:spacing w:after="0" w:before="0" w:line="252"/>
            </w:pPr>
          </w:p>
        </w:tc>
        <w:tc>
          <w:tcPr>
            <w:tcW w:type="dxa" w:w="1901"/>
            <w:tcMar>
              <w:top w:type="dxa" w:w="60"/>
              <w:left w:type="dxa" w:w="100"/>
              <w:bottom w:type="dxa" w:w="60"/>
              <w:right w:type="dxa" w:w="100"/>
            </w:tcMar>
            <w:vAlign w:val="top"/>
          </w:tcPr>
          <w:p>
            <w:pPr>
              <w:spacing w:after="0" w:before="0" w:line="252"/>
            </w:pPr>
          </w:p>
        </w:tc>
        <w:tc>
          <w:tcPr>
            <w:tcW w:type="dxa" w:w="1871"/>
            <w:tcMar>
              <w:top w:type="dxa" w:w="60"/>
              <w:left w:type="dxa" w:w="100"/>
              <w:bottom w:type="dxa" w:w="60"/>
              <w:right w:type="dxa" w:w="100"/>
            </w:tcMar>
            <w:vAlign w:val="top"/>
          </w:tcPr>
          <w:p>
            <w:pPr>
              <w:spacing w:after="0" w:before="0" w:line="252"/>
            </w:pPr>
          </w:p>
        </w:tc>
        <w:tc>
          <w:tcPr>
            <w:tcW w:type="dxa" w:w="1989"/>
            <w:tcMar>
              <w:top w:type="dxa" w:w="60"/>
              <w:left w:type="dxa" w:w="100"/>
              <w:bottom w:type="dxa" w:w="60"/>
              <w:right w:type="dxa" w:w="100"/>
            </w:tcMar>
            <w:vAlign w:val="top"/>
          </w:tcPr>
          <w:p>
            <w:pPr>
              <w:spacing w:after="0" w:before="0" w:line="252"/>
            </w:pPr>
          </w:p>
        </w:tc>
        <w:tc>
          <w:tcPr>
            <w:tcW w:type="dxa" w:w="1624"/>
            <w:tcMar>
              <w:top w:type="dxa" w:w="60"/>
              <w:left w:type="dxa" w:w="100"/>
              <w:bottom w:type="dxa" w:w="60"/>
              <w:right w:type="dxa" w:w="100"/>
            </w:tcMar>
            <w:vAlign w:val="top"/>
          </w:tcPr>
          <w:p>
            <w:pPr>
              <w:spacing w:after="0" w:before="0" w:line="252"/>
            </w:pPr>
          </w:p>
        </w:tc>
      </w:tr>
    </w:tbl>
    <w:p>
      <w:pPr>
        <w:spacing w:after="120"/>
      </w:pPr>
    </w:p>
    <w:p>
      <w:pPr>
        <w:pStyle w:val="Heading2"/>
        <w:keepNext/>
        <w:pageBreakBefore/>
      </w:pPr>
      <w:bookmarkStart w:name="p1_T6" w:id="8"/>
      <w:r>
        <w:rPr>
          <w:rFonts w:ascii="Calibri" w:cs="Calibri" w:eastAsia="Calibri" w:hAnsi="Calibri"/>
        </w:rPr>
        <w:t xml:space="preserve">T6. KPIs and scorecard</w:t>
      </w:r>
      <w:bookmarkEnd w:id="8"/>
    </w:p>
    <w:tbl>
      <w:tblPr>
        <w:tblW w:type="dxa" w:w="9360"/>
        <w:tblBorders>
          <w:top w:val="single" w:color="B6D4EA" w:sz="4"/>
          <w:left w:val="single" w:color="B6D4EA" w:sz="4"/>
          <w:bottom w:val="single" w:color="B6D4EA" w:sz="4"/>
          <w:right w:val="single" w:color="B6D4EA" w:sz="4"/>
          <w:insideH w:val="single" w:color="B6D4EA" w:sz="4"/>
          <w:insideV w:val="single" w:color="B6D4EA" w:sz="4"/>
        </w:tblBorders>
        <w:tblLayout w:type="fixed"/>
      </w:tblPr>
      <w:tblGrid>
        <w:gridCol w:w="9360"/>
      </w:tblGrid>
      <w:tr>
        <w:trPr>
          <w:cantSplit/>
        </w:trPr>
        <w:tc>
          <w:tcPr>
            <w:tcW w:type="dxa" w:w="9360"/>
            <w:shd w:fill="EEF6FC" w:color="auto" w:val="clear"/>
            <w:tcMar>
              <w:top w:type="dxa" w:w="140"/>
              <w:left w:type="dxa" w:w="200"/>
              <w:bottom w:type="dxa" w:w="140"/>
              <w:right w:type="dxa" w:w="200"/>
            </w:tcMar>
          </w:tcPr>
          <w:p>
            <w:pPr>
              <w:spacing w:after="100"/>
            </w:pPr>
            <w:r>
              <w:rPr>
                <w:rFonts w:ascii="Calibri" w:cs="Calibri" w:eastAsia="Calibri" w:hAnsi="Calibri"/>
                <w:b/>
                <w:bCs/>
                <w:color w:val="0369A1"/>
                <w:sz w:val="22"/>
                <w:szCs w:val="22"/>
              </w:rPr>
              <w:t xml:space="preserve">How to use T6</w:t>
            </w:r>
          </w:p>
          <w:p>
            <w:pPr>
              <w:spacing w:after="80"/>
            </w:pPr>
            <w:r>
              <w:rPr>
                <w:rFonts w:ascii="Calibri" w:cs="Calibri" w:eastAsia="Calibri" w:hAnsi="Calibri"/>
                <w:b/>
                <w:bCs/>
                <w:sz w:val="20"/>
                <w:szCs w:val="20"/>
              </w:rPr>
              <w:t xml:space="preserve">Purpose.</w:t>
            </w:r>
            <w:r>
              <w:rPr>
                <w:rFonts w:ascii="Calibri" w:cs="Calibri" w:eastAsia="Calibri" w:hAnsi="Calibri"/>
                <w:sz w:val="20"/>
                <w:szCs w:val="20"/>
              </w:rPr>
              <w:t xml:space="preserve">  Define how success is measured: a baseline and a target at every milestone for each KPI, with its source and owner.</w:t>
            </w:r>
          </w:p>
          <w:p>
            <w:pPr>
              <w:spacing w:after="80"/>
            </w:pPr>
            <w:r>
              <w:rPr>
                <w:rFonts w:ascii="Calibri" w:cs="Calibri" w:eastAsia="Calibri" w:hAnsi="Calibri"/>
                <w:b/>
                <w:bCs/>
                <w:sz w:val="20"/>
                <w:szCs w:val="20"/>
              </w:rPr>
              <w:t xml:space="preserve">When.</w:t>
            </w:r>
            <w:r>
              <w:rPr>
                <w:rFonts w:ascii="Calibri" w:cs="Calibri" w:eastAsia="Calibri" w:hAnsi="Calibri"/>
                <w:sz w:val="20"/>
                <w:szCs w:val="20"/>
              </w:rPr>
              <w:t xml:space="preserve">  Step 2 (discover) for baselines and step 5 (phase) for milestone targets.</w:t>
            </w:r>
          </w:p>
          <w:p>
            <w:pPr>
              <w:spacing w:after="80"/>
            </w:pPr>
            <w:r>
              <w:rPr>
                <w:rFonts w:ascii="Calibri" w:cs="Calibri" w:eastAsia="Calibri" w:hAnsi="Calibri"/>
                <w:b/>
                <w:bCs/>
                <w:sz w:val="20"/>
                <w:szCs w:val="20"/>
              </w:rPr>
              <w:t xml:space="preserve">Who.</w:t>
            </w:r>
            <w:r>
              <w:rPr>
                <w:rFonts w:ascii="Calibri" w:cs="Calibri" w:eastAsia="Calibri" w:hAnsi="Calibri"/>
                <w:sz w:val="20"/>
                <w:szCs w:val="20"/>
              </w:rPr>
              <w:t xml:space="preserve">  The engagement lead and the lead architect, with the business owner and finance.</w:t>
            </w:r>
          </w:p>
          <w:p>
            <w:pPr>
              <w:spacing w:after="60" w:before="120"/>
            </w:pPr>
            <w:r>
              <w:rPr>
                <w:rFonts w:ascii="Calibri" w:cs="Calibri" w:eastAsia="Calibri" w:hAnsi="Calibri"/>
                <w:b/>
                <w:bCs/>
                <w:color w:val="1E293B"/>
                <w:sz w:val="20"/>
                <w:szCs w:val="20"/>
              </w:rPr>
              <w:t xml:space="preserve">How to fill it</w:t>
            </w:r>
          </w:p>
          <w:p>
            <w:pPr>
              <w:pStyle w:val="ListParagraph"/>
              <w:numPr>
                <w:ilvl w:val="0"/>
                <w:numId w:val="12"/>
              </w:numPr>
              <w:spacing w:after="60"/>
            </w:pPr>
            <w:r>
              <w:rPr>
                <w:rFonts w:ascii="Calibri" w:cs="Calibri" w:eastAsia="Calibri" w:hAnsi="Calibri"/>
                <w:sz w:val="20"/>
                <w:szCs w:val="20"/>
              </w:rPr>
              <w:t xml:space="preserve">Define each KPI precisely: what is counted, from which event to which, in which scope.</w:t>
            </w:r>
          </w:p>
          <w:p>
            <w:pPr>
              <w:pStyle w:val="ListParagraph"/>
              <w:numPr>
                <w:ilvl w:val="0"/>
                <w:numId w:val="12"/>
              </w:numPr>
              <w:spacing w:after="60"/>
            </w:pPr>
            <w:r>
              <w:rPr>
                <w:rFonts w:ascii="Calibri" w:cs="Calibri" w:eastAsia="Calibri" w:hAnsi="Calibri"/>
                <w:sz w:val="20"/>
                <w:szCs w:val="20"/>
              </w:rPr>
              <w:t xml:space="preserve">Record the data source and the owner who reports it.</w:t>
            </w:r>
          </w:p>
          <w:p>
            <w:pPr>
              <w:pStyle w:val="ListParagraph"/>
              <w:numPr>
                <w:ilvl w:val="0"/>
                <w:numId w:val="12"/>
              </w:numPr>
              <w:spacing w:after="60"/>
            </w:pPr>
            <w:r>
              <w:rPr>
                <w:rFonts w:ascii="Calibri" w:cs="Calibri" w:eastAsia="Calibri" w:hAnsi="Calibri"/>
                <w:sz w:val="20"/>
                <w:szCs w:val="20"/>
              </w:rPr>
              <w:t xml:space="preserve">Measure the baseline in the phase 1 scope, and write “not measured” where there is no data yet.</w:t>
            </w:r>
          </w:p>
          <w:p>
            <w:pPr>
              <w:pStyle w:val="ListParagraph"/>
              <w:numPr>
                <w:ilvl w:val="0"/>
                <w:numId w:val="12"/>
              </w:numPr>
              <w:spacing w:after="60"/>
            </w:pPr>
            <w:r>
              <w:rPr>
                <w:rFonts w:ascii="Calibri" w:cs="Calibri" w:eastAsia="Calibri" w:hAnsi="Calibri"/>
                <w:sz w:val="20"/>
                <w:szCs w:val="20"/>
              </w:rPr>
              <w:t xml:space="preserve">Set a target for months 3, 8, 12 and 24 in line with the phasing (T11).</w:t>
            </w:r>
          </w:p>
          <w:p>
            <w:pPr>
              <w:pStyle w:val="ListParagraph"/>
              <w:numPr>
                <w:ilvl w:val="0"/>
                <w:numId w:val="12"/>
              </w:numPr>
              <w:spacing w:after="60"/>
            </w:pPr>
            <w:r>
              <w:rPr>
                <w:rFonts w:ascii="Calibri" w:cs="Calibri" w:eastAsia="Calibri" w:hAnsi="Calibri"/>
                <w:sz w:val="20"/>
                <w:szCs w:val="20"/>
              </w:rPr>
              <w:t xml:space="preserve">Keep the control-plane KPIs: agent quality, governed AI traffic, AI cost per outcome and AI cost visibility.</w:t>
            </w:r>
          </w:p>
          <w:p>
            <w:pPr>
              <w:pStyle w:val="ListParagraph"/>
              <w:numPr>
                <w:ilvl w:val="0"/>
                <w:numId w:val="12"/>
              </w:numPr>
              <w:spacing w:after="60"/>
            </w:pPr>
            <w:r>
              <w:rPr>
                <w:rFonts w:ascii="Calibri" w:cs="Calibri" w:eastAsia="Calibri" w:hAnsi="Calibri"/>
                <w:sz w:val="20"/>
                <w:szCs w:val="20"/>
              </w:rPr>
              <w:t xml:space="preserve">Give each scorecard metric a leading indicator from the library below, defined so that every team computes it the same way, and measure value instead of adoption.</w:t>
            </w:r>
          </w:p>
          <w:p>
            <w:pPr>
              <w:spacing w:after="60" w:before="120"/>
            </w:pPr>
            <w:r>
              <w:rPr>
                <w:rFonts w:ascii="Calibri" w:cs="Calibri" w:eastAsia="Calibri" w:hAnsi="Calibri"/>
                <w:b/>
                <w:bCs/>
                <w:color w:val="1E293B"/>
                <w:sz w:val="20"/>
                <w:szCs w:val="20"/>
              </w:rPr>
              <w:t xml:space="preserve">Tips</w:t>
            </w:r>
          </w:p>
          <w:p>
            <w:pPr>
              <w:pStyle w:val="ListParagraph"/>
              <w:numPr>
                <w:ilvl w:val="0"/>
                <w:numId w:val="13"/>
              </w:numPr>
              <w:spacing w:after="60"/>
            </w:pPr>
            <w:r>
              <w:rPr>
                <w:rFonts w:ascii="Calibri" w:cs="Calibri" w:eastAsia="Calibri" w:hAnsi="Calibri"/>
                <w:sz w:val="20"/>
                <w:szCs w:val="20"/>
              </w:rPr>
              <w:t xml:space="preserve">Month 3 targets apply to the first slice only. Say “in scope” so no one reads them as enterprise-wide.</w:t>
            </w:r>
          </w:p>
          <w:p>
            <w:pPr>
              <w:spacing w:after="80"/>
            </w:pPr>
            <w:r>
              <w:rPr>
                <w:rFonts w:ascii="Calibri" w:cs="Calibri" w:eastAsia="Calibri" w:hAnsi="Calibri"/>
                <w:b/>
                <w:bCs/>
                <w:sz w:val="20"/>
                <w:szCs w:val="20"/>
              </w:rPr>
              <w:t xml:space="preserve">Feeds.</w:t>
            </w:r>
            <w:r>
              <w:rPr>
                <w:rFonts w:ascii="Calibri" w:cs="Calibri" w:eastAsia="Calibri" w:hAnsi="Calibri"/>
                <w:sz w:val="20"/>
                <w:szCs w:val="20"/>
              </w:rPr>
              <w:t xml:space="preserve">  Client deck: The value at stake, KPIs at every milestone. Client report: sections 4 and 11.</w:t>
            </w:r>
          </w:p>
        </w:tc>
      </w:tr>
    </w:tbl>
    <w:p>
      <w:pPr>
        <w:spacing w:after="120"/>
      </w:pPr>
    </w:p>
    <w:tbl>
      <w:tblPr>
        <w:tblW w:type="dxa" w:w="9360"/>
        <w:tblBorders>
          <w:top w:val="single" w:color="CBD5E1" w:sz="4"/>
          <w:left w:val="single" w:color="CBD5E1" w:sz="4"/>
          <w:bottom w:val="single" w:color="CBD5E1" w:sz="4"/>
          <w:right w:val="single" w:color="CBD5E1" w:sz="4"/>
          <w:insideH w:val="single" w:color="CBD5E1" w:sz="4"/>
          <w:insideV w:val="single" w:color="CBD5E1" w:sz="4"/>
        </w:tblBorders>
        <w:tblLayout w:type="fixed"/>
      </w:tblPr>
      <w:tblGrid>
        <w:gridCol w:w="2027"/>
        <w:gridCol w:w="3426"/>
        <w:gridCol w:w="2231"/>
        <w:gridCol w:w="1676"/>
      </w:tblGrid>
      <w:tr>
        <w:trPr>
          <w:cantSplit/>
          <w:tblHeader/>
        </w:trPr>
        <w:tc>
          <w:tcPr>
            <w:tcW w:type="dxa" w:w="2027"/>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KPI</w:t>
            </w:r>
          </w:p>
        </w:tc>
        <w:tc>
          <w:tcPr>
            <w:tcW w:type="dxa" w:w="3426"/>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Definition</w:t>
            </w:r>
          </w:p>
        </w:tc>
        <w:tc>
          <w:tcPr>
            <w:tcW w:type="dxa" w:w="2231"/>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Data source</w:t>
            </w:r>
          </w:p>
        </w:tc>
        <w:tc>
          <w:tcPr>
            <w:tcW w:type="dxa" w:w="1676"/>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Owner</w:t>
            </w:r>
          </w:p>
        </w:tc>
      </w:tr>
      <w:tr>
        <w:trPr>
          <w:cantSplit/>
          <w:tblHeader w:val="false"/>
        </w:trPr>
        <w:tc>
          <w:tcPr>
            <w:tcW w:type="dxa" w:w="2027"/>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[KPI]</w:t>
            </w:r>
          </w:p>
        </w:tc>
        <w:tc>
          <w:tcPr>
            <w:tcW w:type="dxa" w:w="3426"/>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[What is counted, from when to when]</w:t>
            </w:r>
          </w:p>
        </w:tc>
        <w:tc>
          <w:tcPr>
            <w:tcW w:type="dxa" w:w="2231"/>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[System]</w:t>
            </w:r>
          </w:p>
        </w:tc>
        <w:tc>
          <w:tcPr>
            <w:tcW w:type="dxa" w:w="1676"/>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[Owner]</w:t>
            </w:r>
          </w:p>
        </w:tc>
      </w:tr>
      <w:tr>
        <w:trPr>
          <w:cantSplit/>
          <w:tblHeader w:val="false"/>
          <w:trHeight w:val="400" w:hRule="atLeast"/>
        </w:trPr>
        <w:tc>
          <w:tcPr>
            <w:tcW w:type="dxa" w:w="2027"/>
            <w:tcMar>
              <w:top w:type="dxa" w:w="60"/>
              <w:left w:type="dxa" w:w="100"/>
              <w:bottom w:type="dxa" w:w="60"/>
              <w:right w:type="dxa" w:w="100"/>
            </w:tcMar>
            <w:vAlign w:val="top"/>
          </w:tcPr>
          <w:p>
            <w:pPr>
              <w:spacing w:after="0" w:before="0" w:line="252"/>
            </w:pPr>
          </w:p>
        </w:tc>
        <w:tc>
          <w:tcPr>
            <w:tcW w:type="dxa" w:w="3426"/>
            <w:tcMar>
              <w:top w:type="dxa" w:w="60"/>
              <w:left w:type="dxa" w:w="100"/>
              <w:bottom w:type="dxa" w:w="60"/>
              <w:right w:type="dxa" w:w="100"/>
            </w:tcMar>
            <w:vAlign w:val="top"/>
          </w:tcPr>
          <w:p>
            <w:pPr>
              <w:spacing w:after="0" w:before="0" w:line="252"/>
            </w:pPr>
          </w:p>
        </w:tc>
        <w:tc>
          <w:tcPr>
            <w:tcW w:type="dxa" w:w="2231"/>
            <w:tcMar>
              <w:top w:type="dxa" w:w="60"/>
              <w:left w:type="dxa" w:w="100"/>
              <w:bottom w:type="dxa" w:w="60"/>
              <w:right w:type="dxa" w:w="100"/>
            </w:tcMar>
            <w:vAlign w:val="top"/>
          </w:tcPr>
          <w:p>
            <w:pPr>
              <w:spacing w:after="0" w:before="0" w:line="252"/>
            </w:pPr>
          </w:p>
        </w:tc>
        <w:tc>
          <w:tcPr>
            <w:tcW w:type="dxa" w:w="1676"/>
            <w:tcMar>
              <w:top w:type="dxa" w:w="60"/>
              <w:left w:type="dxa" w:w="100"/>
              <w:bottom w:type="dxa" w:w="60"/>
              <w:right w:type="dxa" w:w="100"/>
            </w:tcMar>
            <w:vAlign w:val="top"/>
          </w:tcPr>
          <w:p>
            <w:pPr>
              <w:spacing w:after="0" w:before="0" w:line="252"/>
            </w:pPr>
          </w:p>
        </w:tc>
      </w:tr>
      <w:tr>
        <w:trPr>
          <w:cantSplit/>
          <w:tblHeader w:val="false"/>
          <w:trHeight w:val="400" w:hRule="atLeast"/>
        </w:trPr>
        <w:tc>
          <w:tcPr>
            <w:tcW w:type="dxa" w:w="2027"/>
            <w:tcMar>
              <w:top w:type="dxa" w:w="60"/>
              <w:left w:type="dxa" w:w="100"/>
              <w:bottom w:type="dxa" w:w="60"/>
              <w:right w:type="dxa" w:w="100"/>
            </w:tcMar>
            <w:vAlign w:val="top"/>
          </w:tcPr>
          <w:p>
            <w:pPr>
              <w:spacing w:after="0" w:before="0" w:line="252"/>
            </w:pPr>
          </w:p>
        </w:tc>
        <w:tc>
          <w:tcPr>
            <w:tcW w:type="dxa" w:w="3426"/>
            <w:tcMar>
              <w:top w:type="dxa" w:w="60"/>
              <w:left w:type="dxa" w:w="100"/>
              <w:bottom w:type="dxa" w:w="60"/>
              <w:right w:type="dxa" w:w="100"/>
            </w:tcMar>
            <w:vAlign w:val="top"/>
          </w:tcPr>
          <w:p>
            <w:pPr>
              <w:spacing w:after="0" w:before="0" w:line="252"/>
            </w:pPr>
          </w:p>
        </w:tc>
        <w:tc>
          <w:tcPr>
            <w:tcW w:type="dxa" w:w="2231"/>
            <w:tcMar>
              <w:top w:type="dxa" w:w="60"/>
              <w:left w:type="dxa" w:w="100"/>
              <w:bottom w:type="dxa" w:w="60"/>
              <w:right w:type="dxa" w:w="100"/>
            </w:tcMar>
            <w:vAlign w:val="top"/>
          </w:tcPr>
          <w:p>
            <w:pPr>
              <w:spacing w:after="0" w:before="0" w:line="252"/>
            </w:pPr>
          </w:p>
        </w:tc>
        <w:tc>
          <w:tcPr>
            <w:tcW w:type="dxa" w:w="1676"/>
            <w:tcMar>
              <w:top w:type="dxa" w:w="60"/>
              <w:left w:type="dxa" w:w="100"/>
              <w:bottom w:type="dxa" w:w="60"/>
              <w:right w:type="dxa" w:w="100"/>
            </w:tcMar>
            <w:vAlign w:val="top"/>
          </w:tcPr>
          <w:p>
            <w:pPr>
              <w:spacing w:after="0" w:before="0" w:line="252"/>
            </w:pPr>
          </w:p>
        </w:tc>
      </w:tr>
      <w:tr>
        <w:trPr>
          <w:cantSplit/>
          <w:tblHeader w:val="false"/>
          <w:trHeight w:val="400" w:hRule="atLeast"/>
        </w:trPr>
        <w:tc>
          <w:tcPr>
            <w:tcW w:type="dxa" w:w="2027"/>
            <w:tcMar>
              <w:top w:type="dxa" w:w="60"/>
              <w:left w:type="dxa" w:w="100"/>
              <w:bottom w:type="dxa" w:w="60"/>
              <w:right w:type="dxa" w:w="100"/>
            </w:tcMar>
            <w:vAlign w:val="top"/>
          </w:tcPr>
          <w:p>
            <w:pPr>
              <w:spacing w:after="0" w:before="0" w:line="252"/>
            </w:pPr>
          </w:p>
        </w:tc>
        <w:tc>
          <w:tcPr>
            <w:tcW w:type="dxa" w:w="3426"/>
            <w:tcMar>
              <w:top w:type="dxa" w:w="60"/>
              <w:left w:type="dxa" w:w="100"/>
              <w:bottom w:type="dxa" w:w="60"/>
              <w:right w:type="dxa" w:w="100"/>
            </w:tcMar>
            <w:vAlign w:val="top"/>
          </w:tcPr>
          <w:p>
            <w:pPr>
              <w:spacing w:after="0" w:before="0" w:line="252"/>
            </w:pPr>
          </w:p>
        </w:tc>
        <w:tc>
          <w:tcPr>
            <w:tcW w:type="dxa" w:w="2231"/>
            <w:tcMar>
              <w:top w:type="dxa" w:w="60"/>
              <w:left w:type="dxa" w:w="100"/>
              <w:bottom w:type="dxa" w:w="60"/>
              <w:right w:type="dxa" w:w="100"/>
            </w:tcMar>
            <w:vAlign w:val="top"/>
          </w:tcPr>
          <w:p>
            <w:pPr>
              <w:spacing w:after="0" w:before="0" w:line="252"/>
            </w:pPr>
          </w:p>
        </w:tc>
        <w:tc>
          <w:tcPr>
            <w:tcW w:type="dxa" w:w="1676"/>
            <w:tcMar>
              <w:top w:type="dxa" w:w="60"/>
              <w:left w:type="dxa" w:w="100"/>
              <w:bottom w:type="dxa" w:w="60"/>
              <w:right w:type="dxa" w:w="100"/>
            </w:tcMar>
            <w:vAlign w:val="top"/>
          </w:tcPr>
          <w:p>
            <w:pPr>
              <w:spacing w:after="0" w:before="0" w:line="252"/>
            </w:pPr>
          </w:p>
        </w:tc>
      </w:tr>
      <w:tr>
        <w:trPr>
          <w:cantSplit/>
          <w:tblHeader w:val="false"/>
        </w:trPr>
        <w:tc>
          <w:tcPr>
            <w:tcW w:type="dxa" w:w="2027"/>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Agent quality</w:t>
            </w:r>
          </w:p>
        </w:tc>
        <w:tc>
          <w:tcPr>
            <w:tcW w:type="dxa" w:w="3426"/>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Evaluation pass rate for the agents’ key outputs</w:t>
            </w:r>
          </w:p>
        </w:tc>
        <w:tc>
          <w:tcPr>
            <w:tcW w:type="dxa" w:w="2231"/>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[Evaluation tool]</w:t>
            </w:r>
          </w:p>
        </w:tc>
        <w:tc>
          <w:tcPr>
            <w:tcW w:type="dxa" w:w="1676"/>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[Owner]</w:t>
            </w:r>
          </w:p>
        </w:tc>
      </w:tr>
      <w:tr>
        <w:trPr>
          <w:cantSplit/>
          <w:tblHeader w:val="false"/>
        </w:trPr>
        <w:tc>
          <w:tcPr>
            <w:tcW w:type="dxa" w:w="2027"/>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Governed AI traffic</w:t>
            </w:r>
          </w:p>
        </w:tc>
        <w:tc>
          <w:tcPr>
            <w:tcW w:type="dxa" w:w="3426"/>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Share of model and tool calls through the AI gateway</w:t>
            </w:r>
          </w:p>
        </w:tc>
        <w:tc>
          <w:tcPr>
            <w:tcW w:type="dxa" w:w="2231"/>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AI Gateway</w:t>
            </w:r>
          </w:p>
        </w:tc>
        <w:tc>
          <w:tcPr>
            <w:tcW w:type="dxa" w:w="1676"/>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[Owner]</w:t>
            </w:r>
          </w:p>
        </w:tc>
      </w:tr>
      <w:tr>
        <w:trPr>
          <w:cantSplit/>
          <w:tblHeader w:val="false"/>
        </w:trPr>
        <w:tc>
          <w:tcPr>
            <w:tcW w:type="dxa" w:w="2027"/>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AI cost per </w:t>
            </w:r>
            <w:r>
              <w:rPr>
                <w:rFonts w:ascii="Calibri" w:cs="Calibri" w:eastAsia="Calibri" w:hAnsi="Calibri"/>
                <w:i/>
                <w:iCs/>
                <w:color w:val="64748B"/>
                <w:sz w:val="18"/>
                <w:szCs w:val="18"/>
              </w:rPr>
              <w:t xml:space="preserve">[outcome]</w:t>
            </w:r>
          </w:p>
        </w:tc>
        <w:tc>
          <w:tcPr>
            <w:tcW w:type="dxa" w:w="3426"/>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Model and platform cost per outcome</w:t>
            </w:r>
          </w:p>
        </w:tc>
        <w:tc>
          <w:tcPr>
            <w:tcW w:type="dxa" w:w="2231"/>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LLM Governance</w:t>
            </w:r>
          </w:p>
          <w:p>
            <w:pPr>
              <w:spacing w:after="0" w:before="0" w:line="252"/>
            </w:pPr>
            <w:r>
              <w:rPr>
                <w:rFonts w:ascii="Calibri" w:cs="Calibri" w:eastAsia="Calibri" w:hAnsi="Calibri"/>
                <w:sz w:val="18"/>
                <w:szCs w:val="18"/>
              </w:rPr>
              <w:t xml:space="preserve">Finance</w:t>
            </w:r>
          </w:p>
        </w:tc>
        <w:tc>
          <w:tcPr>
            <w:tcW w:type="dxa" w:w="1676"/>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[Owner]</w:t>
            </w:r>
          </w:p>
        </w:tc>
      </w:tr>
      <w:tr>
        <w:trPr>
          <w:cantSplit/>
          <w:tblHeader w:val="false"/>
        </w:trPr>
        <w:tc>
          <w:tcPr>
            <w:tcW w:type="dxa" w:w="2027"/>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AI cost visibility</w:t>
            </w:r>
          </w:p>
        </w:tc>
        <w:tc>
          <w:tcPr>
            <w:tcW w:type="dxa" w:w="3426"/>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Share of model and tool spend attributed to an owner and a use case within a day</w:t>
            </w:r>
          </w:p>
        </w:tc>
        <w:tc>
          <w:tcPr>
            <w:tcW w:type="dxa" w:w="2231"/>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AI Gateway</w:t>
            </w:r>
          </w:p>
          <w:p>
            <w:pPr>
              <w:spacing w:after="80" w:before="0" w:line="252"/>
            </w:pPr>
            <w:r>
              <w:rPr>
                <w:rFonts w:ascii="Calibri" w:cs="Calibri" w:eastAsia="Calibri" w:hAnsi="Calibri"/>
                <w:sz w:val="18"/>
                <w:szCs w:val="18"/>
              </w:rPr>
              <w:t xml:space="preserve">LLM Governance</w:t>
            </w:r>
          </w:p>
          <w:p>
            <w:pPr>
              <w:spacing w:after="0" w:before="0" w:line="252"/>
            </w:pPr>
            <w:r>
              <w:rPr>
                <w:rFonts w:ascii="Calibri" w:cs="Calibri" w:eastAsia="Calibri" w:hAnsi="Calibri"/>
                <w:sz w:val="18"/>
                <w:szCs w:val="18"/>
              </w:rPr>
              <w:t xml:space="preserve">Billing data</w:t>
            </w:r>
          </w:p>
        </w:tc>
        <w:tc>
          <w:tcPr>
            <w:tcW w:type="dxa" w:w="1676"/>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[Owner]</w:t>
            </w:r>
          </w:p>
        </w:tc>
      </w:tr>
    </w:tbl>
    <w:p>
      <w:pPr>
        <w:spacing w:after="120"/>
      </w:pPr>
    </w:p>
    <w:tbl>
      <w:tblPr>
        <w:tblW w:type="dxa" w:w="9360"/>
        <w:tblBorders>
          <w:top w:val="single" w:color="CBD5E1" w:sz="4"/>
          <w:left w:val="single" w:color="CBD5E1" w:sz="4"/>
          <w:bottom w:val="single" w:color="CBD5E1" w:sz="4"/>
          <w:right w:val="single" w:color="CBD5E1" w:sz="4"/>
          <w:insideH w:val="single" w:color="CBD5E1" w:sz="4"/>
          <w:insideV w:val="single" w:color="CBD5E1" w:sz="4"/>
        </w:tblBorders>
        <w:tblLayout w:type="fixed"/>
      </w:tblPr>
      <w:tblGrid>
        <w:gridCol w:w="1698"/>
        <w:gridCol w:w="1602"/>
        <w:gridCol w:w="1610"/>
        <w:gridCol w:w="1564"/>
        <w:gridCol w:w="1441"/>
        <w:gridCol w:w="1445"/>
      </w:tblGrid>
      <w:tr>
        <w:trPr>
          <w:cantSplit/>
          <w:tblHeader/>
        </w:trPr>
        <w:tc>
          <w:tcPr>
            <w:tcW w:type="dxa" w:w="1698"/>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KPI</w:t>
            </w:r>
          </w:p>
        </w:tc>
        <w:tc>
          <w:tcPr>
            <w:tcW w:type="dxa" w:w="1602"/>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Baseline</w:t>
            </w:r>
          </w:p>
        </w:tc>
        <w:tc>
          <w:tcPr>
            <w:tcW w:type="dxa" w:w="1610"/>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Month 3</w:t>
            </w:r>
          </w:p>
        </w:tc>
        <w:tc>
          <w:tcPr>
            <w:tcW w:type="dxa" w:w="1564"/>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Month 8</w:t>
            </w:r>
          </w:p>
        </w:tc>
        <w:tc>
          <w:tcPr>
            <w:tcW w:type="dxa" w:w="1441"/>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Month 12</w:t>
            </w:r>
          </w:p>
        </w:tc>
        <w:tc>
          <w:tcPr>
            <w:tcW w:type="dxa" w:w="1445"/>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Month 24</w:t>
            </w:r>
          </w:p>
        </w:tc>
      </w:tr>
      <w:tr>
        <w:trPr>
          <w:cantSplit/>
          <w:tblHeader w:val="false"/>
        </w:trPr>
        <w:tc>
          <w:tcPr>
            <w:tcW w:type="dxa" w:w="1698"/>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[KPI]</w:t>
            </w:r>
          </w:p>
        </w:tc>
        <w:tc>
          <w:tcPr>
            <w:tcW w:type="dxa" w:w="1602"/>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[Baseline]</w:t>
            </w:r>
          </w:p>
        </w:tc>
        <w:tc>
          <w:tcPr>
            <w:tcW w:type="dxa" w:w="1610"/>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[In scope]</w:t>
            </w:r>
          </w:p>
        </w:tc>
        <w:tc>
          <w:tcPr>
            <w:tcW w:type="dxa" w:w="1564"/>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[Target]</w:t>
            </w:r>
          </w:p>
        </w:tc>
        <w:tc>
          <w:tcPr>
            <w:tcW w:type="dxa" w:w="1441"/>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[Target]</w:t>
            </w:r>
          </w:p>
        </w:tc>
        <w:tc>
          <w:tcPr>
            <w:tcW w:type="dxa" w:w="1445"/>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[Target]</w:t>
            </w:r>
          </w:p>
        </w:tc>
      </w:tr>
      <w:tr>
        <w:trPr>
          <w:cantSplit/>
          <w:tblHeader w:val="false"/>
          <w:trHeight w:val="400" w:hRule="atLeast"/>
        </w:trPr>
        <w:tc>
          <w:tcPr>
            <w:tcW w:type="dxa" w:w="1698"/>
            <w:tcMar>
              <w:top w:type="dxa" w:w="60"/>
              <w:left w:type="dxa" w:w="100"/>
              <w:bottom w:type="dxa" w:w="60"/>
              <w:right w:type="dxa" w:w="100"/>
            </w:tcMar>
            <w:vAlign w:val="top"/>
          </w:tcPr>
          <w:p>
            <w:pPr>
              <w:spacing w:after="0" w:before="0" w:line="252"/>
            </w:pPr>
          </w:p>
        </w:tc>
        <w:tc>
          <w:tcPr>
            <w:tcW w:type="dxa" w:w="1602"/>
            <w:tcMar>
              <w:top w:type="dxa" w:w="60"/>
              <w:left w:type="dxa" w:w="100"/>
              <w:bottom w:type="dxa" w:w="60"/>
              <w:right w:type="dxa" w:w="100"/>
            </w:tcMar>
            <w:vAlign w:val="top"/>
          </w:tcPr>
          <w:p>
            <w:pPr>
              <w:spacing w:after="0" w:before="0" w:line="252"/>
            </w:pPr>
          </w:p>
        </w:tc>
        <w:tc>
          <w:tcPr>
            <w:tcW w:type="dxa" w:w="1610"/>
            <w:tcMar>
              <w:top w:type="dxa" w:w="60"/>
              <w:left w:type="dxa" w:w="100"/>
              <w:bottom w:type="dxa" w:w="60"/>
              <w:right w:type="dxa" w:w="100"/>
            </w:tcMar>
            <w:vAlign w:val="top"/>
          </w:tcPr>
          <w:p>
            <w:pPr>
              <w:spacing w:after="0" w:before="0" w:line="252"/>
            </w:pPr>
          </w:p>
        </w:tc>
        <w:tc>
          <w:tcPr>
            <w:tcW w:type="dxa" w:w="1564"/>
            <w:tcMar>
              <w:top w:type="dxa" w:w="60"/>
              <w:left w:type="dxa" w:w="100"/>
              <w:bottom w:type="dxa" w:w="60"/>
              <w:right w:type="dxa" w:w="100"/>
            </w:tcMar>
            <w:vAlign w:val="top"/>
          </w:tcPr>
          <w:p>
            <w:pPr>
              <w:spacing w:after="0" w:before="0" w:line="252"/>
            </w:pPr>
          </w:p>
        </w:tc>
        <w:tc>
          <w:tcPr>
            <w:tcW w:type="dxa" w:w="1441"/>
            <w:tcMar>
              <w:top w:type="dxa" w:w="60"/>
              <w:left w:type="dxa" w:w="100"/>
              <w:bottom w:type="dxa" w:w="60"/>
              <w:right w:type="dxa" w:w="100"/>
            </w:tcMar>
            <w:vAlign w:val="top"/>
          </w:tcPr>
          <w:p>
            <w:pPr>
              <w:spacing w:after="0" w:before="0" w:line="252"/>
            </w:pPr>
          </w:p>
        </w:tc>
        <w:tc>
          <w:tcPr>
            <w:tcW w:type="dxa" w:w="1445"/>
            <w:tcMar>
              <w:top w:type="dxa" w:w="60"/>
              <w:left w:type="dxa" w:w="100"/>
              <w:bottom w:type="dxa" w:w="60"/>
              <w:right w:type="dxa" w:w="100"/>
            </w:tcMar>
            <w:vAlign w:val="top"/>
          </w:tcPr>
          <w:p>
            <w:pPr>
              <w:spacing w:after="0" w:before="0" w:line="252"/>
            </w:pPr>
          </w:p>
        </w:tc>
      </w:tr>
      <w:tr>
        <w:trPr>
          <w:cantSplit/>
          <w:tblHeader w:val="false"/>
          <w:trHeight w:val="400" w:hRule="atLeast"/>
        </w:trPr>
        <w:tc>
          <w:tcPr>
            <w:tcW w:type="dxa" w:w="1698"/>
            <w:tcMar>
              <w:top w:type="dxa" w:w="60"/>
              <w:left w:type="dxa" w:w="100"/>
              <w:bottom w:type="dxa" w:w="60"/>
              <w:right w:type="dxa" w:w="100"/>
            </w:tcMar>
            <w:vAlign w:val="top"/>
          </w:tcPr>
          <w:p>
            <w:pPr>
              <w:spacing w:after="0" w:before="0" w:line="252"/>
            </w:pPr>
          </w:p>
        </w:tc>
        <w:tc>
          <w:tcPr>
            <w:tcW w:type="dxa" w:w="1602"/>
            <w:tcMar>
              <w:top w:type="dxa" w:w="60"/>
              <w:left w:type="dxa" w:w="100"/>
              <w:bottom w:type="dxa" w:w="60"/>
              <w:right w:type="dxa" w:w="100"/>
            </w:tcMar>
            <w:vAlign w:val="top"/>
          </w:tcPr>
          <w:p>
            <w:pPr>
              <w:spacing w:after="0" w:before="0" w:line="252"/>
            </w:pPr>
          </w:p>
        </w:tc>
        <w:tc>
          <w:tcPr>
            <w:tcW w:type="dxa" w:w="1610"/>
            <w:tcMar>
              <w:top w:type="dxa" w:w="60"/>
              <w:left w:type="dxa" w:w="100"/>
              <w:bottom w:type="dxa" w:w="60"/>
              <w:right w:type="dxa" w:w="100"/>
            </w:tcMar>
            <w:vAlign w:val="top"/>
          </w:tcPr>
          <w:p>
            <w:pPr>
              <w:spacing w:after="0" w:before="0" w:line="252"/>
            </w:pPr>
          </w:p>
        </w:tc>
        <w:tc>
          <w:tcPr>
            <w:tcW w:type="dxa" w:w="1564"/>
            <w:tcMar>
              <w:top w:type="dxa" w:w="60"/>
              <w:left w:type="dxa" w:w="100"/>
              <w:bottom w:type="dxa" w:w="60"/>
              <w:right w:type="dxa" w:w="100"/>
            </w:tcMar>
            <w:vAlign w:val="top"/>
          </w:tcPr>
          <w:p>
            <w:pPr>
              <w:spacing w:after="0" w:before="0" w:line="252"/>
            </w:pPr>
          </w:p>
        </w:tc>
        <w:tc>
          <w:tcPr>
            <w:tcW w:type="dxa" w:w="1441"/>
            <w:tcMar>
              <w:top w:type="dxa" w:w="60"/>
              <w:left w:type="dxa" w:w="100"/>
              <w:bottom w:type="dxa" w:w="60"/>
              <w:right w:type="dxa" w:w="100"/>
            </w:tcMar>
            <w:vAlign w:val="top"/>
          </w:tcPr>
          <w:p>
            <w:pPr>
              <w:spacing w:after="0" w:before="0" w:line="252"/>
            </w:pPr>
          </w:p>
        </w:tc>
        <w:tc>
          <w:tcPr>
            <w:tcW w:type="dxa" w:w="1445"/>
            <w:tcMar>
              <w:top w:type="dxa" w:w="60"/>
              <w:left w:type="dxa" w:w="100"/>
              <w:bottom w:type="dxa" w:w="60"/>
              <w:right w:type="dxa" w:w="100"/>
            </w:tcMar>
            <w:vAlign w:val="top"/>
          </w:tcPr>
          <w:p>
            <w:pPr>
              <w:spacing w:after="0" w:before="0" w:line="252"/>
            </w:pPr>
          </w:p>
        </w:tc>
      </w:tr>
      <w:tr>
        <w:trPr>
          <w:cantSplit/>
          <w:tblHeader w:val="false"/>
          <w:trHeight w:val="400" w:hRule="atLeast"/>
        </w:trPr>
        <w:tc>
          <w:tcPr>
            <w:tcW w:type="dxa" w:w="1698"/>
            <w:tcMar>
              <w:top w:type="dxa" w:w="60"/>
              <w:left w:type="dxa" w:w="100"/>
              <w:bottom w:type="dxa" w:w="60"/>
              <w:right w:type="dxa" w:w="100"/>
            </w:tcMar>
            <w:vAlign w:val="top"/>
          </w:tcPr>
          <w:p>
            <w:pPr>
              <w:spacing w:after="0" w:before="0" w:line="252"/>
            </w:pPr>
          </w:p>
        </w:tc>
        <w:tc>
          <w:tcPr>
            <w:tcW w:type="dxa" w:w="1602"/>
            <w:tcMar>
              <w:top w:type="dxa" w:w="60"/>
              <w:left w:type="dxa" w:w="100"/>
              <w:bottom w:type="dxa" w:w="60"/>
              <w:right w:type="dxa" w:w="100"/>
            </w:tcMar>
            <w:vAlign w:val="top"/>
          </w:tcPr>
          <w:p>
            <w:pPr>
              <w:spacing w:after="0" w:before="0" w:line="252"/>
            </w:pPr>
          </w:p>
        </w:tc>
        <w:tc>
          <w:tcPr>
            <w:tcW w:type="dxa" w:w="1610"/>
            <w:tcMar>
              <w:top w:type="dxa" w:w="60"/>
              <w:left w:type="dxa" w:w="100"/>
              <w:bottom w:type="dxa" w:w="60"/>
              <w:right w:type="dxa" w:w="100"/>
            </w:tcMar>
            <w:vAlign w:val="top"/>
          </w:tcPr>
          <w:p>
            <w:pPr>
              <w:spacing w:after="0" w:before="0" w:line="252"/>
            </w:pPr>
          </w:p>
        </w:tc>
        <w:tc>
          <w:tcPr>
            <w:tcW w:type="dxa" w:w="1564"/>
            <w:tcMar>
              <w:top w:type="dxa" w:w="60"/>
              <w:left w:type="dxa" w:w="100"/>
              <w:bottom w:type="dxa" w:w="60"/>
              <w:right w:type="dxa" w:w="100"/>
            </w:tcMar>
            <w:vAlign w:val="top"/>
          </w:tcPr>
          <w:p>
            <w:pPr>
              <w:spacing w:after="0" w:before="0" w:line="252"/>
            </w:pPr>
          </w:p>
        </w:tc>
        <w:tc>
          <w:tcPr>
            <w:tcW w:type="dxa" w:w="1441"/>
            <w:tcMar>
              <w:top w:type="dxa" w:w="60"/>
              <w:left w:type="dxa" w:w="100"/>
              <w:bottom w:type="dxa" w:w="60"/>
              <w:right w:type="dxa" w:w="100"/>
            </w:tcMar>
            <w:vAlign w:val="top"/>
          </w:tcPr>
          <w:p>
            <w:pPr>
              <w:spacing w:after="0" w:before="0" w:line="252"/>
            </w:pPr>
          </w:p>
        </w:tc>
        <w:tc>
          <w:tcPr>
            <w:tcW w:type="dxa" w:w="1445"/>
            <w:tcMar>
              <w:top w:type="dxa" w:w="60"/>
              <w:left w:type="dxa" w:w="100"/>
              <w:bottom w:type="dxa" w:w="60"/>
              <w:right w:type="dxa" w:w="100"/>
            </w:tcMar>
            <w:vAlign w:val="top"/>
          </w:tcPr>
          <w:p>
            <w:pPr>
              <w:spacing w:after="0" w:before="0" w:line="252"/>
            </w:pPr>
          </w:p>
        </w:tc>
      </w:tr>
      <w:tr>
        <w:trPr>
          <w:cantSplit/>
          <w:tblHeader w:val="false"/>
        </w:trPr>
        <w:tc>
          <w:tcPr>
            <w:tcW w:type="dxa" w:w="169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Agent quality</w:t>
            </w:r>
          </w:p>
        </w:tc>
        <w:tc>
          <w:tcPr>
            <w:tcW w:type="dxa" w:w="1602"/>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Not measured</w:t>
            </w:r>
          </w:p>
        </w:tc>
        <w:tc>
          <w:tcPr>
            <w:tcW w:type="dxa" w:w="161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Baseline set</w:t>
            </w:r>
          </w:p>
        </w:tc>
        <w:tc>
          <w:tcPr>
            <w:tcW w:type="dxa" w:w="1564"/>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[Track]</w:t>
            </w:r>
          </w:p>
        </w:tc>
        <w:tc>
          <w:tcPr>
            <w:tcW w:type="dxa" w:w="1441"/>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[Target]</w:t>
            </w:r>
          </w:p>
        </w:tc>
        <w:tc>
          <w:tcPr>
            <w:tcW w:type="dxa" w:w="1445"/>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[Target]</w:t>
            </w:r>
          </w:p>
        </w:tc>
      </w:tr>
      <w:tr>
        <w:trPr>
          <w:cantSplit/>
          <w:tblHeader w:val="false"/>
        </w:trPr>
        <w:tc>
          <w:tcPr>
            <w:tcW w:type="dxa" w:w="169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Governed AI traffic</w:t>
            </w:r>
          </w:p>
        </w:tc>
        <w:tc>
          <w:tcPr>
            <w:tcW w:type="dxa" w:w="1602"/>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Not measured</w:t>
            </w:r>
          </w:p>
        </w:tc>
        <w:tc>
          <w:tcPr>
            <w:tcW w:type="dxa" w:w="161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100% in scope</w:t>
            </w:r>
          </w:p>
        </w:tc>
        <w:tc>
          <w:tcPr>
            <w:tcW w:type="dxa" w:w="1564"/>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100% in scope</w:t>
            </w:r>
          </w:p>
        </w:tc>
        <w:tc>
          <w:tcPr>
            <w:tcW w:type="dxa" w:w="1441"/>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100%</w:t>
            </w:r>
          </w:p>
        </w:tc>
        <w:tc>
          <w:tcPr>
            <w:tcW w:type="dxa" w:w="1445"/>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100%</w:t>
            </w:r>
          </w:p>
        </w:tc>
      </w:tr>
      <w:tr>
        <w:trPr>
          <w:cantSplit/>
          <w:tblHeader w:val="false"/>
        </w:trPr>
        <w:tc>
          <w:tcPr>
            <w:tcW w:type="dxa" w:w="169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AI cost per </w:t>
            </w:r>
            <w:r>
              <w:rPr>
                <w:rFonts w:ascii="Calibri" w:cs="Calibri" w:eastAsia="Calibri" w:hAnsi="Calibri"/>
                <w:i/>
                <w:iCs/>
                <w:color w:val="64748B"/>
                <w:sz w:val="18"/>
                <w:szCs w:val="18"/>
              </w:rPr>
              <w:t xml:space="preserve">[outcome]</w:t>
            </w:r>
          </w:p>
        </w:tc>
        <w:tc>
          <w:tcPr>
            <w:tcW w:type="dxa" w:w="1602"/>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Not measured</w:t>
            </w:r>
          </w:p>
        </w:tc>
        <w:tc>
          <w:tcPr>
            <w:tcW w:type="dxa" w:w="161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Baseline set</w:t>
            </w:r>
          </w:p>
        </w:tc>
        <w:tc>
          <w:tcPr>
            <w:tcW w:type="dxa" w:w="1564"/>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Within target</w:t>
            </w:r>
          </w:p>
        </w:tc>
        <w:tc>
          <w:tcPr>
            <w:tcW w:type="dxa" w:w="1441"/>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Within target</w:t>
            </w:r>
          </w:p>
        </w:tc>
        <w:tc>
          <w:tcPr>
            <w:tcW w:type="dxa" w:w="1445"/>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Within target</w:t>
            </w:r>
          </w:p>
        </w:tc>
      </w:tr>
      <w:tr>
        <w:trPr>
          <w:cantSplit/>
          <w:tblHeader w:val="false"/>
        </w:trPr>
        <w:tc>
          <w:tcPr>
            <w:tcW w:type="dxa" w:w="169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AI cost visibility</w:t>
            </w:r>
          </w:p>
        </w:tc>
        <w:tc>
          <w:tcPr>
            <w:tcW w:type="dxa" w:w="1602"/>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Not measured</w:t>
            </w:r>
          </w:p>
        </w:tc>
        <w:tc>
          <w:tcPr>
            <w:tcW w:type="dxa" w:w="161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100% in scope</w:t>
            </w:r>
          </w:p>
        </w:tc>
        <w:tc>
          <w:tcPr>
            <w:tcW w:type="dxa" w:w="1564"/>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100% in scope</w:t>
            </w:r>
          </w:p>
        </w:tc>
        <w:tc>
          <w:tcPr>
            <w:tcW w:type="dxa" w:w="1441"/>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100%</w:t>
            </w:r>
          </w:p>
        </w:tc>
        <w:tc>
          <w:tcPr>
            <w:tcW w:type="dxa" w:w="1445"/>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100%</w:t>
            </w:r>
          </w:p>
        </w:tc>
      </w:tr>
    </w:tbl>
    <w:p>
      <w:pPr>
        <w:spacing w:after="120"/>
      </w:pPr>
    </w:p>
    <w:p>
      <w:pPr>
        <w:pStyle w:val="Heading3"/>
        <w:keepNext/>
      </w:pPr>
      <w:r>
        <w:rPr>
          <w:rFonts w:ascii="Calibri" w:cs="Calibri" w:eastAsia="Calibri" w:hAnsi="Calibri"/>
        </w:rPr>
        <w:t xml:space="preserve">Control-plane scorecard</w:t>
      </w:r>
    </w:p>
    <w:tbl>
      <w:tblPr>
        <w:tblW w:type="dxa" w:w="9360"/>
        <w:tblBorders>
          <w:top w:val="single" w:color="CBD5E1" w:sz="4"/>
          <w:left w:val="single" w:color="CBD5E1" w:sz="4"/>
          <w:bottom w:val="single" w:color="CBD5E1" w:sz="4"/>
          <w:right w:val="single" w:color="CBD5E1" w:sz="4"/>
          <w:insideH w:val="single" w:color="CBD5E1" w:sz="4"/>
          <w:insideV w:val="single" w:color="CBD5E1" w:sz="4"/>
        </w:tblBorders>
        <w:tblLayout w:type="fixed"/>
      </w:tblPr>
      <w:tblGrid>
        <w:gridCol w:w="1696"/>
        <w:gridCol w:w="4089"/>
        <w:gridCol w:w="1248"/>
        <w:gridCol w:w="2327"/>
      </w:tblGrid>
      <w:tr>
        <w:trPr>
          <w:cantSplit/>
          <w:tblHeader/>
        </w:trPr>
        <w:tc>
          <w:tcPr>
            <w:tcW w:type="dxa" w:w="1696"/>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Metric</w:t>
            </w:r>
          </w:p>
        </w:tc>
        <w:tc>
          <w:tcPr>
            <w:tcW w:type="dxa" w:w="4089"/>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Definition</w:t>
            </w:r>
          </w:p>
        </w:tc>
        <w:tc>
          <w:tcPr>
            <w:tcW w:type="dxa" w:w="1248"/>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Direction</w:t>
            </w:r>
          </w:p>
        </w:tc>
        <w:tc>
          <w:tcPr>
            <w:tcW w:type="dxa" w:w="2327"/>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Data source</w:t>
            </w:r>
          </w:p>
        </w:tc>
      </w:tr>
      <w:tr>
        <w:trPr>
          <w:cantSplit/>
          <w:tblHeader w:val="false"/>
        </w:trPr>
        <w:tc>
          <w:tcPr>
            <w:tcW w:type="dxa" w:w="1696"/>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Agent coverage</w:t>
            </w:r>
          </w:p>
        </w:tc>
        <w:tc>
          <w:tcPr>
            <w:tcW w:type="dxa" w:w="4089"/>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Share of known agents registered with an owner and a risk tier</w:t>
            </w:r>
          </w:p>
        </w:tc>
        <w:tc>
          <w:tcPr>
            <w:tcW w:type="dxa" w:w="124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Up</w:t>
            </w:r>
          </w:p>
        </w:tc>
        <w:tc>
          <w:tcPr>
            <w:tcW w:type="dxa" w:w="2327"/>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Agent Registry and Scanners</w:t>
            </w:r>
          </w:p>
        </w:tc>
      </w:tr>
      <w:tr>
        <w:trPr>
          <w:cantSplit/>
          <w:tblHeader w:val="false"/>
        </w:trPr>
        <w:tc>
          <w:tcPr>
            <w:tcW w:type="dxa" w:w="1696"/>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Governed traffic</w:t>
            </w:r>
          </w:p>
        </w:tc>
        <w:tc>
          <w:tcPr>
            <w:tcW w:type="dxa" w:w="4089"/>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Share of LLM and MCP calls routed through the AI gateway</w:t>
            </w:r>
          </w:p>
        </w:tc>
        <w:tc>
          <w:tcPr>
            <w:tcW w:type="dxa" w:w="124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Up</w:t>
            </w:r>
          </w:p>
        </w:tc>
        <w:tc>
          <w:tcPr>
            <w:tcW w:type="dxa" w:w="2327"/>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AI Gateway</w:t>
            </w:r>
          </w:p>
        </w:tc>
      </w:tr>
      <w:tr>
        <w:trPr>
          <w:cantSplit/>
          <w:tblHeader w:val="false"/>
        </w:trPr>
        <w:tc>
          <w:tcPr>
            <w:tcW w:type="dxa" w:w="1696"/>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Cost per outcome</w:t>
            </w:r>
          </w:p>
        </w:tc>
        <w:tc>
          <w:tcPr>
            <w:tcW w:type="dxa" w:w="4089"/>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Model spend per resolved task, by use case</w:t>
            </w:r>
          </w:p>
        </w:tc>
        <w:tc>
          <w:tcPr>
            <w:tcW w:type="dxa" w:w="124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Down</w:t>
            </w:r>
          </w:p>
        </w:tc>
        <w:tc>
          <w:tcPr>
            <w:tcW w:type="dxa" w:w="2327"/>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LLM Governance</w:t>
            </w:r>
          </w:p>
          <w:p>
            <w:pPr>
              <w:spacing w:after="0" w:before="0" w:line="252"/>
            </w:pPr>
            <w:r>
              <w:rPr>
                <w:rFonts w:ascii="Calibri" w:cs="Calibri" w:eastAsia="Calibri" w:hAnsi="Calibri"/>
                <w:sz w:val="18"/>
                <w:szCs w:val="18"/>
              </w:rPr>
              <w:t xml:space="preserve">Business systems</w:t>
            </w:r>
          </w:p>
        </w:tc>
      </w:tr>
      <w:tr>
        <w:trPr>
          <w:cantSplit/>
          <w:tblHeader w:val="false"/>
        </w:trPr>
        <w:tc>
          <w:tcPr>
            <w:tcW w:type="dxa" w:w="1696"/>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AI cost visibility</w:t>
            </w:r>
          </w:p>
        </w:tc>
        <w:tc>
          <w:tcPr>
            <w:tcW w:type="dxa" w:w="4089"/>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Share of model and tool spend attributed to an owner and a use case within a day, and share of agents under a token-based rate limit</w:t>
            </w:r>
          </w:p>
        </w:tc>
        <w:tc>
          <w:tcPr>
            <w:tcW w:type="dxa" w:w="124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Up</w:t>
            </w:r>
          </w:p>
        </w:tc>
        <w:tc>
          <w:tcPr>
            <w:tcW w:type="dxa" w:w="2327"/>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AI Gateway and LLM Governance</w:t>
            </w:r>
          </w:p>
          <w:p>
            <w:pPr>
              <w:spacing w:after="0" w:before="0" w:line="252"/>
            </w:pPr>
            <w:r>
              <w:rPr>
                <w:rFonts w:ascii="Calibri" w:cs="Calibri" w:eastAsia="Calibri" w:hAnsi="Calibri"/>
                <w:sz w:val="18"/>
                <w:szCs w:val="18"/>
              </w:rPr>
              <w:t xml:space="preserve">Billing data in FOCUS format</w:t>
            </w:r>
          </w:p>
        </w:tc>
      </w:tr>
      <w:tr>
        <w:trPr>
          <w:cantSplit/>
          <w:tblHeader w:val="false"/>
        </w:trPr>
        <w:tc>
          <w:tcPr>
            <w:tcW w:type="dxa" w:w="1696"/>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Value realized</w:t>
            </w:r>
          </w:p>
        </w:tc>
        <w:tc>
          <w:tcPr>
            <w:tcW w:type="dxa" w:w="4089"/>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Run-rate value of live use-case slices against their business cases, agreed with finance</w:t>
            </w:r>
          </w:p>
        </w:tc>
        <w:tc>
          <w:tcPr>
            <w:tcW w:type="dxa" w:w="124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Up</w:t>
            </w:r>
          </w:p>
        </w:tc>
        <w:tc>
          <w:tcPr>
            <w:tcW w:type="dxa" w:w="2327"/>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Business-case tracking</w:t>
            </w:r>
          </w:p>
          <w:p>
            <w:pPr>
              <w:spacing w:after="0" w:before="0" w:line="252"/>
            </w:pPr>
            <w:r>
              <w:rPr>
                <w:rFonts w:ascii="Calibri" w:cs="Calibri" w:eastAsia="Calibri" w:hAnsi="Calibri"/>
                <w:sz w:val="18"/>
                <w:szCs w:val="18"/>
              </w:rPr>
              <w:t xml:space="preserve">Use-case KPIs</w:t>
            </w:r>
          </w:p>
        </w:tc>
      </w:tr>
      <w:tr>
        <w:trPr>
          <w:cantSplit/>
          <w:tblHeader w:val="false"/>
        </w:trPr>
        <w:tc>
          <w:tcPr>
            <w:tcW w:type="dxa" w:w="1696"/>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Policy enforcement</w:t>
            </w:r>
          </w:p>
        </w:tc>
        <w:tc>
          <w:tcPr>
            <w:tcW w:type="dxa" w:w="4089"/>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Violations blocked before impact versus found afterward, including exposure-limit breaches refused by a custom aggregate-risk policy where one is in place</w:t>
            </w:r>
          </w:p>
        </w:tc>
        <w:tc>
          <w:tcPr>
            <w:tcW w:type="dxa" w:w="124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Up</w:t>
            </w:r>
          </w:p>
        </w:tc>
        <w:tc>
          <w:tcPr>
            <w:tcW w:type="dxa" w:w="2327"/>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AI Gateway policy events</w:t>
            </w:r>
          </w:p>
          <w:p>
            <w:pPr>
              <w:spacing w:after="0" w:before="0" w:line="252"/>
            </w:pPr>
            <w:r>
              <w:rPr>
                <w:rFonts w:ascii="Calibri" w:cs="Calibri" w:eastAsia="Calibri" w:hAnsi="Calibri"/>
                <w:sz w:val="18"/>
                <w:szCs w:val="18"/>
              </w:rPr>
              <w:t xml:space="preserve">Gateway aggregate-risk refusals</w:t>
            </w:r>
          </w:p>
        </w:tc>
      </w:tr>
      <w:tr>
        <w:trPr>
          <w:cantSplit/>
          <w:tblHeader w:val="false"/>
        </w:trPr>
        <w:tc>
          <w:tcPr>
            <w:tcW w:type="dxa" w:w="1696"/>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Time to contain</w:t>
            </w:r>
          </w:p>
        </w:tc>
        <w:tc>
          <w:tcPr>
            <w:tcW w:type="dxa" w:w="4089"/>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Minutes from alert to kill switch or credential revocation, and to open work handed to a named person</w:t>
            </w:r>
          </w:p>
        </w:tc>
        <w:tc>
          <w:tcPr>
            <w:tcW w:type="dxa" w:w="124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Down</w:t>
            </w:r>
          </w:p>
        </w:tc>
        <w:tc>
          <w:tcPr>
            <w:tcW w:type="dxa" w:w="2327"/>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Agent Kill Switch</w:t>
            </w:r>
          </w:p>
          <w:p>
            <w:pPr>
              <w:spacing w:after="80" w:before="0" w:line="252"/>
            </w:pPr>
            <w:r>
              <w:rPr>
                <w:rFonts w:ascii="Calibri" w:cs="Calibri" w:eastAsia="Calibri" w:hAnsi="Calibri"/>
                <w:sz w:val="18"/>
                <w:szCs w:val="18"/>
              </w:rPr>
              <w:t xml:space="preserve">Identity logs</w:t>
            </w:r>
          </w:p>
          <w:p>
            <w:pPr>
              <w:spacing w:after="0" w:before="0" w:line="252"/>
            </w:pPr>
            <w:r>
              <w:rPr>
                <w:rFonts w:ascii="Calibri" w:cs="Calibri" w:eastAsia="Calibri" w:hAnsi="Calibri"/>
                <w:sz w:val="18"/>
                <w:szCs w:val="18"/>
              </w:rPr>
              <w:t xml:space="preserve">Takeover drill records</w:t>
            </w:r>
          </w:p>
        </w:tc>
      </w:tr>
      <w:tr>
        <w:trPr>
          <w:cantSplit/>
          <w:tblHeader w:val="false"/>
        </w:trPr>
        <w:tc>
          <w:tcPr>
            <w:tcW w:type="dxa" w:w="1696"/>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Evaluation pass rate</w:t>
            </w:r>
          </w:p>
        </w:tc>
        <w:tc>
          <w:tcPr>
            <w:tcW w:type="dxa" w:w="4089"/>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Agents meeting quality thresholds before promotion</w:t>
            </w:r>
          </w:p>
        </w:tc>
        <w:tc>
          <w:tcPr>
            <w:tcW w:type="dxa" w:w="124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Up</w:t>
            </w:r>
          </w:p>
        </w:tc>
        <w:tc>
          <w:tcPr>
            <w:tcW w:type="dxa" w:w="2327"/>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Evaluation runs (any evaluation tool)</w:t>
            </w:r>
          </w:p>
        </w:tc>
      </w:tr>
      <w:tr>
        <w:trPr>
          <w:cantSplit/>
          <w:tblHeader w:val="false"/>
        </w:trPr>
        <w:tc>
          <w:tcPr>
            <w:tcW w:type="dxa" w:w="1696"/>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Oversight coverage</w:t>
            </w:r>
          </w:p>
        </w:tc>
        <w:tc>
          <w:tcPr>
            <w:tcW w:type="dxa" w:w="4089"/>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Share of tier 3–4 high-risk actions with approval or audit</w:t>
            </w:r>
          </w:p>
        </w:tc>
        <w:tc>
          <w:tcPr>
            <w:tcW w:type="dxa" w:w="124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Up</w:t>
            </w:r>
          </w:p>
        </w:tc>
        <w:tc>
          <w:tcPr>
            <w:tcW w:type="dxa" w:w="2327"/>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Trusted Agent Identity</w:t>
            </w:r>
          </w:p>
          <w:p>
            <w:pPr>
              <w:spacing w:after="0" w:before="0" w:line="252"/>
            </w:pPr>
            <w:r>
              <w:rPr>
                <w:rFonts w:ascii="Calibri" w:cs="Calibri" w:eastAsia="Calibri" w:hAnsi="Calibri"/>
                <w:sz w:val="18"/>
                <w:szCs w:val="18"/>
              </w:rPr>
              <w:t xml:space="preserve">Audit logs</w:t>
            </w:r>
          </w:p>
        </w:tc>
      </w:tr>
      <w:tr>
        <w:trPr>
          <w:cantSplit/>
          <w:tblHeader w:val="false"/>
        </w:trPr>
        <w:tc>
          <w:tcPr>
            <w:tcW w:type="dxa" w:w="1696"/>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Oversight effectiveness</w:t>
            </w:r>
          </w:p>
        </w:tc>
        <w:tc>
          <w:tcPr>
            <w:tcW w:type="dxa" w:w="4089"/>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Share of high-risk actions executed exactly as approved and within the approval’s validity window, with drills showing people can stop an agent in time</w:t>
            </w:r>
          </w:p>
        </w:tc>
        <w:tc>
          <w:tcPr>
            <w:tcW w:type="dxa" w:w="124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Up</w:t>
            </w:r>
          </w:p>
        </w:tc>
        <w:tc>
          <w:tcPr>
            <w:tcW w:type="dxa" w:w="2327"/>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Gateway approval-binding events</w:t>
            </w:r>
          </w:p>
          <w:p>
            <w:pPr>
              <w:spacing w:after="0" w:before="0" w:line="252"/>
            </w:pPr>
            <w:r>
              <w:rPr>
                <w:rFonts w:ascii="Calibri" w:cs="Calibri" w:eastAsia="Calibri" w:hAnsi="Calibri"/>
                <w:sz w:val="18"/>
                <w:szCs w:val="18"/>
              </w:rPr>
              <w:t xml:space="preserve">Kill Switch drill records</w:t>
            </w:r>
          </w:p>
        </w:tc>
      </w:tr>
      <w:tr>
        <w:trPr>
          <w:cantSplit/>
          <w:tblHeader w:val="false"/>
        </w:trPr>
        <w:tc>
          <w:tcPr>
            <w:tcW w:type="dxa" w:w="1696"/>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Crypto readiness</w:t>
            </w:r>
          </w:p>
        </w:tc>
        <w:tc>
          <w:tcPr>
            <w:tcW w:type="dxa" w:w="4089"/>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Share of the asymmetric-crypto inventory with a migration plan</w:t>
            </w:r>
          </w:p>
        </w:tc>
        <w:tc>
          <w:tcPr>
            <w:tcW w:type="dxa" w:w="124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Up</w:t>
            </w:r>
          </w:p>
        </w:tc>
        <w:tc>
          <w:tcPr>
            <w:tcW w:type="dxa" w:w="2327"/>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Cryptographic inventory</w:t>
            </w:r>
          </w:p>
        </w:tc>
      </w:tr>
    </w:tbl>
    <w:p>
      <w:pPr>
        <w:spacing w:after="120"/>
      </w:pPr>
    </w:p>
    <w:p>
      <w:pPr>
        <w:pStyle w:val="Heading3"/>
        <w:keepNext/>
      </w:pPr>
      <w:r>
        <w:rPr>
          <w:rFonts w:ascii="Calibri" w:cs="Calibri" w:eastAsia="Calibri" w:hAnsi="Calibri"/>
        </w:rPr>
        <w:t xml:space="preserve">Leading indicators (KPI library)</w:t>
      </w:r>
    </w:p>
    <w:tbl>
      <w:tblPr>
        <w:tblW w:type="dxa" w:w="9360"/>
        <w:tblBorders>
          <w:top w:val="single" w:color="CBD5E1" w:sz="4"/>
          <w:left w:val="single" w:color="CBD5E1" w:sz="4"/>
          <w:bottom w:val="single" w:color="CBD5E1" w:sz="4"/>
          <w:right w:val="single" w:color="CBD5E1" w:sz="4"/>
          <w:insideH w:val="single" w:color="CBD5E1" w:sz="4"/>
          <w:insideV w:val="single" w:color="CBD5E1" w:sz="4"/>
        </w:tblBorders>
        <w:tblLayout w:type="fixed"/>
      </w:tblPr>
      <w:tblGrid>
        <w:gridCol w:w="1864"/>
        <w:gridCol w:w="2059"/>
        <w:gridCol w:w="5437"/>
      </w:tblGrid>
      <w:tr>
        <w:trPr>
          <w:cantSplit/>
          <w:tblHeader/>
        </w:trPr>
        <w:tc>
          <w:tcPr>
            <w:tcW w:type="dxa" w:w="1864"/>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Scorecard metric</w:t>
            </w:r>
          </w:p>
        </w:tc>
        <w:tc>
          <w:tcPr>
            <w:tcW w:type="dxa" w:w="2059"/>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Leading indicator</w:t>
            </w:r>
          </w:p>
        </w:tc>
        <w:tc>
          <w:tcPr>
            <w:tcW w:type="dxa" w:w="5437"/>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How to measure it</w:t>
            </w:r>
          </w:p>
        </w:tc>
      </w:tr>
      <w:tr>
        <w:trPr>
          <w:cantSplit/>
          <w:tblHeader w:val="false"/>
        </w:trPr>
        <w:tc>
          <w:tcPr>
            <w:tcW w:type="dxa" w:w="1864"/>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Agent coverage</w:t>
            </w:r>
          </w:p>
        </w:tc>
        <w:tc>
          <w:tcPr>
            <w:tcW w:type="dxa" w:w="2059"/>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Unregistered agents found</w:t>
            </w:r>
          </w:p>
        </w:tc>
        <w:tc>
          <w:tcPr>
            <w:tcW w:type="dxa" w:w="5437"/>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Agents found by scanners but not yet registered, and days from discovery to registration</w:t>
            </w:r>
          </w:p>
        </w:tc>
      </w:tr>
      <w:tr>
        <w:trPr>
          <w:cantSplit/>
          <w:tblHeader w:val="false"/>
        </w:trPr>
        <w:tc>
          <w:tcPr>
            <w:tcW w:type="dxa" w:w="1864"/>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Governed traffic</w:t>
            </w:r>
          </w:p>
        </w:tc>
        <w:tc>
          <w:tcPr>
            <w:tcW w:type="dxa" w:w="2059"/>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New agents launched behind the gateway</w:t>
            </w:r>
          </w:p>
        </w:tc>
        <w:tc>
          <w:tcPr>
            <w:tcW w:type="dxa" w:w="5437"/>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Share of newly promoted agents whose first production call went through the gateway</w:t>
            </w:r>
          </w:p>
        </w:tc>
      </w:tr>
      <w:tr>
        <w:trPr>
          <w:cantSplit/>
          <w:tblHeader w:val="false"/>
        </w:trPr>
        <w:tc>
          <w:tcPr>
            <w:tcW w:type="dxa" w:w="1864"/>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Cost per outcome</w:t>
            </w:r>
          </w:p>
        </w:tc>
        <w:tc>
          <w:tcPr>
            <w:tcW w:type="dxa" w:w="2059"/>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Cost per successful task</w:t>
            </w:r>
          </w:p>
        </w:tc>
        <w:tc>
          <w:tcPr>
            <w:tcW w:type="dxa" w:w="5437"/>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Model and tool spend divided by tasks that passed their success check, by use case</w:t>
            </w:r>
            <w:hyperlink w:history="1" w:anchor="en_60">
              <w:r>
                <w:rPr>
                  <w:rFonts w:ascii="Calibri" w:cs="Calibri" w:eastAsia="Calibri" w:hAnsi="Calibri"/>
                  <w:color w:val="0369A1"/>
                  <w:sz w:val="18"/>
                  <w:szCs w:val="18"/>
                  <w:vertAlign w:val="superscript"/>
                </w:rPr>
                <w:t xml:space="preserve">60</w:t>
              </w:r>
            </w:hyperlink>
          </w:p>
        </w:tc>
      </w:tr>
      <w:tr>
        <w:trPr>
          <w:cantSplit/>
          <w:tblHeader w:val="false"/>
        </w:trPr>
        <w:tc>
          <w:tcPr>
            <w:tcW w:type="dxa" w:w="1864"/>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AI cost visibility</w:t>
            </w:r>
          </w:p>
        </w:tc>
        <w:tc>
          <w:tcPr>
            <w:tcW w:type="dxa" w:w="2059"/>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Spend attributed within a day</w:t>
            </w:r>
          </w:p>
        </w:tc>
        <w:tc>
          <w:tcPr>
            <w:tcW w:type="dxa" w:w="5437"/>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Share of the previous day’s model and tool spend tagged to an owner and a use case</w:t>
            </w:r>
          </w:p>
        </w:tc>
      </w:tr>
      <w:tr>
        <w:trPr>
          <w:cantSplit/>
          <w:tblHeader w:val="false"/>
        </w:trPr>
        <w:tc>
          <w:tcPr>
            <w:tcW w:type="dxa" w:w="1864"/>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Value realized</w:t>
            </w:r>
          </w:p>
        </w:tc>
        <w:tc>
          <w:tcPr>
            <w:tcW w:type="dxa" w:w="2059"/>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Acceptance rate</w:t>
            </w:r>
          </w:p>
        </w:tc>
        <w:tc>
          <w:tcPr>
            <w:tcW w:type="dxa" w:w="5437"/>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Share of agent outputs accepted without significant edits, with undo and revert counted as rejections</w:t>
            </w:r>
            <w:hyperlink w:history="1" w:anchor="en_60">
              <w:r>
                <w:rPr>
                  <w:rFonts w:ascii="Calibri" w:cs="Calibri" w:eastAsia="Calibri" w:hAnsi="Calibri"/>
                  <w:color w:val="0369A1"/>
                  <w:sz w:val="18"/>
                  <w:szCs w:val="18"/>
                  <w:vertAlign w:val="superscript"/>
                </w:rPr>
                <w:t xml:space="preserve">60</w:t>
              </w:r>
            </w:hyperlink>
          </w:p>
        </w:tc>
      </w:tr>
      <w:tr>
        <w:trPr>
          <w:cantSplit/>
          <w:tblHeader w:val="false"/>
        </w:trPr>
        <w:tc>
          <w:tcPr>
            <w:tcW w:type="dxa" w:w="1864"/>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Policy enforcement</w:t>
            </w:r>
          </w:p>
        </w:tc>
        <w:tc>
          <w:tcPr>
            <w:tcW w:type="dxa" w:w="2059"/>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Near misses</w:t>
            </w:r>
          </w:p>
        </w:tc>
        <w:tc>
          <w:tcPr>
            <w:tcW w:type="dxa" w:w="5437"/>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Calls blocked per 1,000, by policy, and their trend, with exposure-limit refusals counted separately</w:t>
            </w:r>
          </w:p>
        </w:tc>
      </w:tr>
      <w:tr>
        <w:trPr>
          <w:cantSplit/>
          <w:tblHeader w:val="false"/>
        </w:trPr>
        <w:tc>
          <w:tcPr>
            <w:tcW w:type="dxa" w:w="1864"/>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Time to contain</w:t>
            </w:r>
          </w:p>
        </w:tc>
        <w:tc>
          <w:tcPr>
            <w:tcW w:type="dxa" w:w="2059"/>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Drill time</w:t>
            </w:r>
          </w:p>
        </w:tc>
        <w:tc>
          <w:tcPr>
            <w:tcW w:type="dxa" w:w="5437"/>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Minutes to stop an agent and hand its open work to a named person in the latest drill</w:t>
            </w:r>
          </w:p>
        </w:tc>
      </w:tr>
      <w:tr>
        <w:trPr>
          <w:cantSplit/>
          <w:tblHeader w:val="false"/>
        </w:trPr>
        <w:tc>
          <w:tcPr>
            <w:tcW w:type="dxa" w:w="1864"/>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Evaluation pass rate</w:t>
            </w:r>
          </w:p>
        </w:tc>
        <w:tc>
          <w:tcPr>
            <w:tcW w:type="dxa" w:w="2059"/>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Trajectory quality</w:t>
            </w:r>
          </w:p>
        </w:tc>
        <w:tc>
          <w:tcPr>
            <w:tcW w:type="dxa" w:w="5437"/>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Tool-selection accuracy and plan adherence on sampled production traces</w:t>
            </w:r>
            <w:hyperlink w:history="1" w:anchor="en_60">
              <w:r>
                <w:rPr>
                  <w:rFonts w:ascii="Calibri" w:cs="Calibri" w:eastAsia="Calibri" w:hAnsi="Calibri"/>
                  <w:color w:val="0369A1"/>
                  <w:sz w:val="18"/>
                  <w:szCs w:val="18"/>
                  <w:vertAlign w:val="superscript"/>
                </w:rPr>
                <w:t xml:space="preserve">60</w:t>
              </w:r>
            </w:hyperlink>
          </w:p>
        </w:tc>
      </w:tr>
      <w:tr>
        <w:trPr>
          <w:cantSplit/>
          <w:tblHeader w:val="false"/>
        </w:trPr>
        <w:tc>
          <w:tcPr>
            <w:tcW w:type="dxa" w:w="1864"/>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Oversight coverage</w:t>
            </w:r>
          </w:p>
        </w:tc>
        <w:tc>
          <w:tcPr>
            <w:tcW w:type="dxa" w:w="2059"/>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Verification latency</w:t>
            </w:r>
          </w:p>
        </w:tc>
        <w:tc>
          <w:tcPr>
            <w:tcW w:type="dxa" w:w="5437"/>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Time from an agent completing a task to a person approving it.</w:t>
            </w:r>
            <w:hyperlink w:history="1" w:anchor="en_60">
              <w:r>
                <w:rPr>
                  <w:rFonts w:ascii="Calibri" w:cs="Calibri" w:eastAsia="Calibri" w:hAnsi="Calibri"/>
                  <w:color w:val="0369A1"/>
                  <w:sz w:val="18"/>
                  <w:szCs w:val="18"/>
                  <w:vertAlign w:val="superscript"/>
                </w:rPr>
                <w:t xml:space="preserve">60</w:t>
              </w:r>
            </w:hyperlink>
            <w:r>
              <w:rPr>
                <w:rFonts w:ascii="Calibri" w:cs="Calibri" w:eastAsia="Calibri" w:hAnsi="Calibri"/>
                <w:sz w:val="18"/>
                <w:szCs w:val="18"/>
              </w:rPr>
              <w:t xml:space="preserve"> Very short times can mean approval without review.</w:t>
            </w:r>
          </w:p>
        </w:tc>
      </w:tr>
      <w:tr>
        <w:trPr>
          <w:cantSplit/>
          <w:tblHeader w:val="false"/>
        </w:trPr>
        <w:tc>
          <w:tcPr>
            <w:tcW w:type="dxa" w:w="1864"/>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Oversight effectiveness</w:t>
            </w:r>
          </w:p>
        </w:tc>
        <w:tc>
          <w:tcPr>
            <w:tcW w:type="dxa" w:w="2059"/>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Takeover rate</w:t>
            </w:r>
          </w:p>
        </w:tc>
        <w:tc>
          <w:tcPr>
            <w:tcW w:type="dxa" w:w="5437"/>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How often a person has to step in and take over a task the agent started</w:t>
            </w:r>
            <w:hyperlink w:history="1" w:anchor="en_60">
              <w:r>
                <w:rPr>
                  <w:rFonts w:ascii="Calibri" w:cs="Calibri" w:eastAsia="Calibri" w:hAnsi="Calibri"/>
                  <w:color w:val="0369A1"/>
                  <w:sz w:val="18"/>
                  <w:szCs w:val="18"/>
                  <w:vertAlign w:val="superscript"/>
                </w:rPr>
                <w:t xml:space="preserve">60</w:t>
              </w:r>
            </w:hyperlink>
          </w:p>
        </w:tc>
      </w:tr>
      <w:tr>
        <w:trPr>
          <w:cantSplit/>
          <w:tblHeader w:val="false"/>
        </w:trPr>
        <w:tc>
          <w:tcPr>
            <w:tcW w:type="dxa" w:w="1864"/>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Crypto readiness</w:t>
            </w:r>
          </w:p>
        </w:tc>
        <w:tc>
          <w:tcPr>
            <w:tcW w:type="dxa" w:w="2059"/>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Algorithm agility</w:t>
            </w:r>
          </w:p>
        </w:tc>
        <w:tc>
          <w:tcPr>
            <w:tcW w:type="dxa" w:w="5437"/>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Share of gateways and service meshes that can change algorithms by configuration</w:t>
            </w:r>
          </w:p>
        </w:tc>
      </w:tr>
    </w:tbl>
    <w:p>
      <w:pPr>
        <w:spacing w:after="120"/>
      </w:pPr>
    </w:p>
    <w:p>
      <w:pPr>
        <w:pStyle w:val="Heading2"/>
        <w:keepNext/>
        <w:pageBreakBefore/>
      </w:pPr>
      <w:bookmarkStart w:name="p1_T7" w:id="9"/>
      <w:r>
        <w:rPr>
          <w:rFonts w:ascii="Calibri" w:cs="Calibri" w:eastAsia="Calibri" w:hAnsi="Calibri"/>
        </w:rPr>
        <w:t xml:space="preserve">T7. North-star architecture (vendor-neutral)</w:t>
      </w:r>
      <w:bookmarkEnd w:id="9"/>
    </w:p>
    <w:tbl>
      <w:tblPr>
        <w:tblW w:type="dxa" w:w="9360"/>
        <w:tblBorders>
          <w:top w:val="single" w:color="B6D4EA" w:sz="4"/>
          <w:left w:val="single" w:color="B6D4EA" w:sz="4"/>
          <w:bottom w:val="single" w:color="B6D4EA" w:sz="4"/>
          <w:right w:val="single" w:color="B6D4EA" w:sz="4"/>
          <w:insideH w:val="single" w:color="B6D4EA" w:sz="4"/>
          <w:insideV w:val="single" w:color="B6D4EA" w:sz="4"/>
        </w:tblBorders>
        <w:tblLayout w:type="fixed"/>
      </w:tblPr>
      <w:tblGrid>
        <w:gridCol w:w="9360"/>
      </w:tblGrid>
      <w:tr>
        <w:trPr>
          <w:cantSplit/>
        </w:trPr>
        <w:tc>
          <w:tcPr>
            <w:tcW w:type="dxa" w:w="9360"/>
            <w:shd w:fill="EEF6FC" w:color="auto" w:val="clear"/>
            <w:tcMar>
              <w:top w:type="dxa" w:w="140"/>
              <w:left w:type="dxa" w:w="200"/>
              <w:bottom w:type="dxa" w:w="140"/>
              <w:right w:type="dxa" w:w="200"/>
            </w:tcMar>
          </w:tcPr>
          <w:p>
            <w:pPr>
              <w:spacing w:after="100"/>
            </w:pPr>
            <w:r>
              <w:rPr>
                <w:rFonts w:ascii="Calibri" w:cs="Calibri" w:eastAsia="Calibri" w:hAnsi="Calibri"/>
                <w:b/>
                <w:bCs/>
                <w:color w:val="0369A1"/>
                <w:sz w:val="22"/>
                <w:szCs w:val="22"/>
              </w:rPr>
              <w:t xml:space="preserve">How to use T7</w:t>
            </w:r>
          </w:p>
          <w:p>
            <w:pPr>
              <w:spacing w:after="80"/>
            </w:pPr>
            <w:r>
              <w:rPr>
                <w:rFonts w:ascii="Calibri" w:cs="Calibri" w:eastAsia="Calibri" w:hAnsi="Calibri"/>
                <w:b/>
                <w:bCs/>
                <w:sz w:val="20"/>
                <w:szCs w:val="20"/>
              </w:rPr>
              <w:t xml:space="preserve">Purpose.</w:t>
            </w:r>
            <w:r>
              <w:rPr>
                <w:rFonts w:ascii="Calibri" w:cs="Calibri" w:eastAsia="Calibri" w:hAnsi="Calibri"/>
                <w:sz w:val="20"/>
                <w:szCs w:val="20"/>
              </w:rPr>
              <w:t xml:space="preserve">  Show what good looks like for this use case, layer by layer, before any product is named.</w:t>
            </w:r>
          </w:p>
          <w:p>
            <w:pPr>
              <w:spacing w:after="80"/>
            </w:pPr>
            <w:r>
              <w:rPr>
                <w:rFonts w:ascii="Calibri" w:cs="Calibri" w:eastAsia="Calibri" w:hAnsi="Calibri"/>
                <w:b/>
                <w:bCs/>
                <w:sz w:val="20"/>
                <w:szCs w:val="20"/>
              </w:rPr>
              <w:t xml:space="preserve">When.</w:t>
            </w:r>
            <w:r>
              <w:rPr>
                <w:rFonts w:ascii="Calibri" w:cs="Calibri" w:eastAsia="Calibri" w:hAnsi="Calibri"/>
                <w:sz w:val="20"/>
                <w:szCs w:val="20"/>
              </w:rPr>
              <w:t xml:space="preserve">  Step 4 (design), in the architecture workshop.</w:t>
            </w:r>
          </w:p>
          <w:p>
            <w:pPr>
              <w:spacing w:after="80"/>
            </w:pPr>
            <w:r>
              <w:rPr>
                <w:rFonts w:ascii="Calibri" w:cs="Calibri" w:eastAsia="Calibri" w:hAnsi="Calibri"/>
                <w:b/>
                <w:bCs/>
                <w:sz w:val="20"/>
                <w:szCs w:val="20"/>
              </w:rPr>
              <w:t xml:space="preserve">Who.</w:t>
            </w:r>
            <w:r>
              <w:rPr>
                <w:rFonts w:ascii="Calibri" w:cs="Calibri" w:eastAsia="Calibri" w:hAnsi="Calibri"/>
                <w:sz w:val="20"/>
                <w:szCs w:val="20"/>
              </w:rPr>
              <w:t xml:space="preserve">  The lead architect with the client’s enterprise architect.</w:t>
            </w:r>
          </w:p>
          <w:p>
            <w:pPr>
              <w:spacing w:after="60" w:before="120"/>
            </w:pPr>
            <w:r>
              <w:rPr>
                <w:rFonts w:ascii="Calibri" w:cs="Calibri" w:eastAsia="Calibri" w:hAnsi="Calibri"/>
                <w:b/>
                <w:bCs/>
                <w:color w:val="1E293B"/>
                <w:sz w:val="20"/>
                <w:szCs w:val="20"/>
              </w:rPr>
              <w:t xml:space="preserve">How to fill it</w:t>
            </w:r>
          </w:p>
          <w:p>
            <w:pPr>
              <w:pStyle w:val="ListParagraph"/>
              <w:numPr>
                <w:ilvl w:val="0"/>
                <w:numId w:val="14"/>
              </w:numPr>
              <w:spacing w:after="60"/>
            </w:pPr>
            <w:r>
              <w:rPr>
                <w:rFonts w:ascii="Calibri" w:cs="Calibri" w:eastAsia="Calibri" w:hAnsi="Calibri"/>
                <w:sz w:val="20"/>
                <w:szCs w:val="20"/>
              </w:rPr>
              <w:t xml:space="preserve">Start from the north star in </w:t>
            </w:r>
            <w:hyperlink w:history="1" r:id="rId-zdbkh4wmv2q2abd7jhhi">
              <w:r>
                <w:rPr>
                  <w:rFonts w:ascii="Calibri" w:cs="Calibri" w:eastAsia="Calibri" w:hAnsi="Calibri"/>
                  <w:color w:val="0369A1"/>
                  <w:sz w:val="20"/>
                  <w:szCs w:val="20"/>
                  <w:u w:val="single"/>
                </w:rPr>
                <w:t xml:space="preserve">Figure 2</w:t>
              </w:r>
            </w:hyperlink>
            <w:r>
              <w:rPr>
                <w:rFonts w:ascii="Calibri" w:cs="Calibri" w:eastAsia="Calibri" w:hAnsi="Calibri"/>
                <w:sz w:val="20"/>
                <w:szCs w:val="20"/>
              </w:rPr>
              <w:t xml:space="preserve"> (handbook </w:t>
            </w:r>
            <w:hyperlink w:history="1" r:id="rId3ldzeuqueyxgqkuj2jpbg">
              <w:r>
                <w:rPr>
                  <w:rFonts w:ascii="Calibri" w:cs="Calibri" w:eastAsia="Calibri" w:hAnsi="Calibri"/>
                  <w:color w:val="0369A1"/>
                  <w:sz w:val="20"/>
                  <w:szCs w:val="20"/>
                  <w:u w:val="single"/>
                </w:rPr>
                <w:t xml:space="preserve">Figure 4</w:t>
              </w:r>
            </w:hyperlink>
            <w:r>
              <w:rPr>
                <w:rFonts w:ascii="Calibri" w:cs="Calibri" w:eastAsia="Calibri" w:hAnsi="Calibri"/>
                <w:sz w:val="20"/>
                <w:szCs w:val="20"/>
              </w:rPr>
              <w:t xml:space="preserve">) and the asset inventory (T3).</w:t>
            </w:r>
          </w:p>
          <w:p>
            <w:pPr>
              <w:pStyle w:val="ListParagraph"/>
              <w:numPr>
                <w:ilvl w:val="0"/>
                <w:numId w:val="14"/>
              </w:numPr>
              <w:spacing w:after="60"/>
            </w:pPr>
            <w:r>
              <w:rPr>
                <w:rFonts w:ascii="Calibri" w:cs="Calibri" w:eastAsia="Calibri" w:hAnsi="Calibri"/>
                <w:sz w:val="20"/>
                <w:szCs w:val="20"/>
              </w:rPr>
              <w:t xml:space="preserve">Fill each layer with the use case’s channels, agents and tiers, orchestration, models, tools, data governance and systems of record.</w:t>
            </w:r>
          </w:p>
          <w:p>
            <w:pPr>
              <w:pStyle w:val="ListParagraph"/>
              <w:numPr>
                <w:ilvl w:val="0"/>
                <w:numId w:val="14"/>
              </w:numPr>
              <w:spacing w:after="60"/>
            </w:pPr>
            <w:r>
              <w:rPr>
                <w:rFonts w:ascii="Calibri" w:cs="Calibri" w:eastAsia="Calibri" w:hAnsi="Calibri"/>
                <w:sz w:val="20"/>
                <w:szCs w:val="20"/>
              </w:rPr>
              <w:t xml:space="preserve">Record the design decisions and their rationale.</w:t>
            </w:r>
          </w:p>
          <w:p>
            <w:pPr>
              <w:pStyle w:val="ListParagraph"/>
              <w:numPr>
                <w:ilvl w:val="0"/>
                <w:numId w:val="14"/>
              </w:numPr>
              <w:spacing w:after="60"/>
            </w:pPr>
            <w:r>
              <w:rPr>
                <w:rFonts w:ascii="Calibri" w:cs="Calibri" w:eastAsia="Calibri" w:hAnsi="Calibri"/>
                <w:sz w:val="20"/>
                <w:szCs w:val="20"/>
              </w:rPr>
              <w:t xml:space="preserve">Check the design rule: every agent-to-model and agent-to-tool call passes the control plane.</w:t>
            </w:r>
          </w:p>
          <w:p>
            <w:pPr>
              <w:pStyle w:val="ListParagraph"/>
              <w:numPr>
                <w:ilvl w:val="0"/>
                <w:numId w:val="14"/>
              </w:numPr>
              <w:spacing w:after="60"/>
            </w:pPr>
            <w:r>
              <w:rPr>
                <w:rFonts w:ascii="Calibri" w:cs="Calibri" w:eastAsia="Calibri" w:hAnsi="Calibri"/>
                <w:sz w:val="20"/>
                <w:szCs w:val="20"/>
              </w:rPr>
              <w:t xml:space="preserve">Name only the systems of record and keep everything else vendor-neutral.</w:t>
            </w:r>
          </w:p>
          <w:p>
            <w:pPr>
              <w:pStyle w:val="ListParagraph"/>
              <w:numPr>
                <w:ilvl w:val="0"/>
                <w:numId w:val="14"/>
              </w:numPr>
              <w:spacing w:after="60"/>
            </w:pPr>
            <w:r>
              <w:rPr>
                <w:rFonts w:ascii="Calibri" w:cs="Calibri" w:eastAsia="Calibri" w:hAnsi="Calibri"/>
                <w:sz w:val="20"/>
                <w:szCs w:val="20"/>
              </w:rPr>
              <w:t xml:space="preserve">Run the design-review checklist with the enterprise architect, against the framework the client already uses (</w:t>
            </w:r>
            <w:hyperlink w:history="1" r:id="rIdhb_fqa8wssuxkynrsxssx">
              <w:r>
                <w:rPr>
                  <w:rFonts w:ascii="Calibri" w:cs="Calibri" w:eastAsia="Calibri" w:hAnsi="Calibri"/>
                  <w:color w:val="0369A1"/>
                  <w:sz w:val="20"/>
                  <w:szCs w:val="20"/>
                  <w:u w:val="single"/>
                </w:rPr>
                <w:t xml:space="preserve">Section 5</w:t>
              </w:r>
            </w:hyperlink>
            <w:r>
              <w:rPr>
                <w:rFonts w:ascii="Calibri" w:cs="Calibri" w:eastAsia="Calibri" w:hAnsi="Calibri"/>
                <w:sz w:val="20"/>
                <w:szCs w:val="20"/>
              </w:rPr>
              <w:t xml:space="preserve">).</w:t>
            </w:r>
          </w:p>
          <w:p>
            <w:pPr>
              <w:spacing w:after="80"/>
            </w:pPr>
            <w:r>
              <w:rPr>
                <w:rFonts w:ascii="Calibri" w:cs="Calibri" w:eastAsia="Calibri" w:hAnsi="Calibri"/>
                <w:b/>
                <w:bCs/>
                <w:sz w:val="20"/>
                <w:szCs w:val="20"/>
              </w:rPr>
              <w:t xml:space="preserve">Feeds.</w:t>
            </w:r>
            <w:r>
              <w:rPr>
                <w:rFonts w:ascii="Calibri" w:cs="Calibri" w:eastAsia="Calibri" w:hAnsi="Calibri"/>
                <w:sz w:val="20"/>
                <w:szCs w:val="20"/>
              </w:rPr>
              <w:t xml:space="preserve">  Client deck: Vendor-neutral architecture. Client report: section 7.</w:t>
            </w:r>
          </w:p>
        </w:tc>
      </w:tr>
    </w:tbl>
    <w:p>
      <w:pPr>
        <w:spacing w:after="120"/>
      </w:pPr>
    </w:p>
    <w:tbl>
      <w:tblPr>
        <w:tblW w:type="dxa" w:w="9360"/>
        <w:tblBorders>
          <w:top w:val="single" w:color="CBD5E1" w:sz="4"/>
          <w:left w:val="single" w:color="CBD5E1" w:sz="4"/>
          <w:bottom w:val="single" w:color="CBD5E1" w:sz="4"/>
          <w:right w:val="single" w:color="CBD5E1" w:sz="4"/>
          <w:insideH w:val="single" w:color="CBD5E1" w:sz="4"/>
          <w:insideV w:val="single" w:color="CBD5E1" w:sz="4"/>
        </w:tblBorders>
        <w:tblLayout w:type="fixed"/>
      </w:tblPr>
      <w:tblGrid>
        <w:gridCol w:w="1761"/>
        <w:gridCol w:w="5177"/>
        <w:gridCol w:w="2422"/>
      </w:tblGrid>
      <w:tr>
        <w:trPr>
          <w:cantSplit/>
          <w:tblHeader/>
        </w:trPr>
        <w:tc>
          <w:tcPr>
            <w:tcW w:type="dxa" w:w="1761"/>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Layer</w:t>
            </w:r>
          </w:p>
        </w:tc>
        <w:tc>
          <w:tcPr>
            <w:tcW w:type="dxa" w:w="5177"/>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What goes here</w:t>
            </w:r>
          </w:p>
        </w:tc>
        <w:tc>
          <w:tcPr>
            <w:tcW w:type="dxa" w:w="2422"/>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This use case</w:t>
            </w:r>
          </w:p>
        </w:tc>
      </w:tr>
      <w:tr>
        <w:trPr>
          <w:cantSplit/>
          <w:tblHeader w:val="false"/>
        </w:trPr>
        <w:tc>
          <w:tcPr>
            <w:tcW w:type="dxa" w:w="1761"/>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Users and channels</w:t>
            </w:r>
          </w:p>
        </w:tc>
        <w:tc>
          <w:tcPr>
            <w:tcW w:type="dxa" w:w="5177"/>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Who uses the solution, through which channel, with which authentication</w:t>
            </w:r>
          </w:p>
        </w:tc>
        <w:tc>
          <w:tcPr>
            <w:tcW w:type="dxa" w:w="2422"/>
            <w:tcMar>
              <w:top w:type="dxa" w:w="60"/>
              <w:left w:type="dxa" w:w="100"/>
              <w:bottom w:type="dxa" w:w="60"/>
              <w:right w:type="dxa" w:w="100"/>
            </w:tcMar>
            <w:vAlign w:val="top"/>
          </w:tcPr>
          <w:p>
            <w:pPr>
              <w:spacing w:after="0" w:before="0" w:line="252"/>
            </w:pPr>
          </w:p>
        </w:tc>
      </w:tr>
      <w:tr>
        <w:trPr>
          <w:cantSplit/>
          <w:tblHeader w:val="false"/>
        </w:trPr>
        <w:tc>
          <w:tcPr>
            <w:tcW w:type="dxa" w:w="1761"/>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Agents and tiers</w:t>
            </w:r>
          </w:p>
        </w:tc>
        <w:tc>
          <w:tcPr>
            <w:tcW w:type="dxa" w:w="5177"/>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Each agent with its tier and mode (read-only, drafts, proposes, gated writes)</w:t>
            </w:r>
          </w:p>
        </w:tc>
        <w:tc>
          <w:tcPr>
            <w:tcW w:type="dxa" w:w="2422"/>
            <w:tcMar>
              <w:top w:type="dxa" w:w="60"/>
              <w:left w:type="dxa" w:w="100"/>
              <w:bottom w:type="dxa" w:w="60"/>
              <w:right w:type="dxa" w:w="100"/>
            </w:tcMar>
            <w:vAlign w:val="top"/>
          </w:tcPr>
          <w:p>
            <w:pPr>
              <w:spacing w:after="0" w:before="0" w:line="252"/>
            </w:pPr>
          </w:p>
        </w:tc>
      </w:tr>
      <w:tr>
        <w:trPr>
          <w:cantSplit/>
          <w:tblHeader w:val="false"/>
        </w:trPr>
        <w:tc>
          <w:tcPr>
            <w:tcW w:type="dxa" w:w="1761"/>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Orchestration</w:t>
            </w:r>
          </w:p>
        </w:tc>
        <w:tc>
          <w:tcPr>
            <w:tcW w:type="dxa" w:w="5177"/>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The pattern (embedded, dedicated or hybrid/federated), the orchestrator, the deterministic gates and the triggers</w:t>
            </w:r>
          </w:p>
        </w:tc>
        <w:tc>
          <w:tcPr>
            <w:tcW w:type="dxa" w:w="2422"/>
            <w:tcMar>
              <w:top w:type="dxa" w:w="60"/>
              <w:left w:type="dxa" w:w="100"/>
              <w:bottom w:type="dxa" w:w="60"/>
              <w:right w:type="dxa" w:w="100"/>
            </w:tcMar>
            <w:vAlign w:val="top"/>
          </w:tcPr>
          <w:p>
            <w:pPr>
              <w:spacing w:after="0" w:before="0" w:line="252"/>
            </w:pPr>
          </w:p>
        </w:tc>
      </w:tr>
      <w:tr>
        <w:trPr>
          <w:cantSplit/>
          <w:tblHeader w:val="false"/>
        </w:trPr>
        <w:tc>
          <w:tcPr>
            <w:tcW w:type="dxa" w:w="1761"/>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Control plane</w:t>
            </w:r>
          </w:p>
        </w:tc>
        <w:tc>
          <w:tcPr>
            <w:tcW w:type="dxa" w:w="5177"/>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Registry, AI gateway (LLM, MCP, A2A), policy decision point, identity and delegation, evaluation and cost, kill switch</w:t>
            </w:r>
          </w:p>
        </w:tc>
        <w:tc>
          <w:tcPr>
            <w:tcW w:type="dxa" w:w="2422"/>
            <w:tcMar>
              <w:top w:type="dxa" w:w="60"/>
              <w:left w:type="dxa" w:w="100"/>
              <w:bottom w:type="dxa" w:w="60"/>
              <w:right w:type="dxa" w:w="100"/>
            </w:tcMar>
            <w:vAlign w:val="top"/>
          </w:tcPr>
          <w:p>
            <w:pPr>
              <w:spacing w:after="0" w:before="0" w:line="252"/>
            </w:pPr>
          </w:p>
        </w:tc>
      </w:tr>
      <w:tr>
        <w:trPr>
          <w:cantSplit/>
          <w:tblHeader w:val="false"/>
        </w:trPr>
        <w:tc>
          <w:tcPr>
            <w:tcW w:type="dxa" w:w="1761"/>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Models</w:t>
            </w:r>
          </w:p>
        </w:tc>
        <w:tc>
          <w:tcPr>
            <w:tcW w:type="dxa" w:w="5177"/>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Frontier, private and embedding models, and the routing policy</w:t>
            </w:r>
          </w:p>
        </w:tc>
        <w:tc>
          <w:tcPr>
            <w:tcW w:type="dxa" w:w="2422"/>
            <w:tcMar>
              <w:top w:type="dxa" w:w="60"/>
              <w:left w:type="dxa" w:w="100"/>
              <w:bottom w:type="dxa" w:w="60"/>
              <w:right w:type="dxa" w:w="100"/>
            </w:tcMar>
            <w:vAlign w:val="top"/>
          </w:tcPr>
          <w:p>
            <w:pPr>
              <w:spacing w:after="0" w:before="0" w:line="252"/>
            </w:pPr>
          </w:p>
        </w:tc>
      </w:tr>
      <w:tr>
        <w:trPr>
          <w:cantSplit/>
          <w:tblHeader w:val="false"/>
        </w:trPr>
        <w:tc>
          <w:tcPr>
            <w:tcW w:type="dxa" w:w="1761"/>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MCP servers and APIs</w:t>
            </w:r>
          </w:p>
        </w:tc>
        <w:tc>
          <w:tcPr>
            <w:tcW w:type="dxa" w:w="5177"/>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The capabilities exposed as governed tools, with read or write scopes</w:t>
            </w:r>
          </w:p>
        </w:tc>
        <w:tc>
          <w:tcPr>
            <w:tcW w:type="dxa" w:w="2422"/>
            <w:tcMar>
              <w:top w:type="dxa" w:w="60"/>
              <w:left w:type="dxa" w:w="100"/>
              <w:bottom w:type="dxa" w:w="60"/>
              <w:right w:type="dxa" w:w="100"/>
            </w:tcMar>
            <w:vAlign w:val="top"/>
          </w:tcPr>
          <w:p>
            <w:pPr>
              <w:spacing w:after="0" w:before="0" w:line="252"/>
            </w:pPr>
          </w:p>
        </w:tc>
      </w:tr>
      <w:tr>
        <w:trPr>
          <w:cantSplit/>
          <w:tblHeader w:val="false"/>
        </w:trPr>
        <w:tc>
          <w:tcPr>
            <w:tcW w:type="dxa" w:w="1761"/>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Data governance</w:t>
            </w:r>
          </w:p>
        </w:tc>
        <w:tc>
          <w:tcPr>
            <w:tcW w:type="dxa" w:w="5177"/>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Golden records, semantic layer and data contracts, catalog and lineage, quality, access policies</w:t>
            </w:r>
          </w:p>
        </w:tc>
        <w:tc>
          <w:tcPr>
            <w:tcW w:type="dxa" w:w="2422"/>
            <w:tcMar>
              <w:top w:type="dxa" w:w="60"/>
              <w:left w:type="dxa" w:w="100"/>
              <w:bottom w:type="dxa" w:w="60"/>
              <w:right w:type="dxa" w:w="100"/>
            </w:tcMar>
            <w:vAlign w:val="top"/>
          </w:tcPr>
          <w:p>
            <w:pPr>
              <w:spacing w:after="0" w:before="0" w:line="252"/>
            </w:pPr>
          </w:p>
        </w:tc>
      </w:tr>
      <w:tr>
        <w:trPr>
          <w:cantSplit/>
          <w:tblHeader w:val="false"/>
        </w:trPr>
        <w:tc>
          <w:tcPr>
            <w:tcW w:type="dxa" w:w="1761"/>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Systems of record</w:t>
            </w:r>
          </w:p>
        </w:tc>
        <w:tc>
          <w:tcPr>
            <w:tcW w:type="dxa" w:w="5177"/>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The named systems the process runs on</w:t>
            </w:r>
          </w:p>
        </w:tc>
        <w:tc>
          <w:tcPr>
            <w:tcW w:type="dxa" w:w="2422"/>
            <w:tcMar>
              <w:top w:type="dxa" w:w="60"/>
              <w:left w:type="dxa" w:w="100"/>
              <w:bottom w:type="dxa" w:w="60"/>
              <w:right w:type="dxa" w:w="100"/>
            </w:tcMar>
            <w:vAlign w:val="top"/>
          </w:tcPr>
          <w:p>
            <w:pPr>
              <w:spacing w:after="0" w:before="0" w:line="252"/>
            </w:pPr>
          </w:p>
        </w:tc>
      </w:tr>
      <w:tr>
        <w:trPr>
          <w:cantSplit/>
          <w:tblHeader w:val="false"/>
        </w:trPr>
        <w:tc>
          <w:tcPr>
            <w:tcW w:type="dxa" w:w="1761"/>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Across every layer</w:t>
            </w:r>
          </w:p>
        </w:tc>
        <w:tc>
          <w:tcPr>
            <w:tcW w:type="dxa" w:w="5177"/>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Security controls</w:t>
            </w:r>
          </w:p>
          <w:p>
            <w:pPr>
              <w:spacing w:after="0" w:before="0" w:line="252"/>
            </w:pPr>
            <w:r>
              <w:rPr>
                <w:rFonts w:ascii="Calibri" w:cs="Calibri" w:eastAsia="Calibri" w:hAnsi="Calibri"/>
                <w:sz w:val="18"/>
                <w:szCs w:val="18"/>
              </w:rPr>
              <w:t xml:space="preserve">Governance and observability</w:t>
            </w:r>
          </w:p>
        </w:tc>
        <w:tc>
          <w:tcPr>
            <w:tcW w:type="dxa" w:w="2422"/>
            <w:tcMar>
              <w:top w:type="dxa" w:w="60"/>
              <w:left w:type="dxa" w:w="100"/>
              <w:bottom w:type="dxa" w:w="60"/>
              <w:right w:type="dxa" w:w="100"/>
            </w:tcMar>
            <w:vAlign w:val="top"/>
          </w:tcPr>
          <w:p>
            <w:pPr>
              <w:spacing w:after="0" w:before="0" w:line="252"/>
            </w:pPr>
          </w:p>
        </w:tc>
      </w:tr>
    </w:tbl>
    <w:p>
      <w:pPr>
        <w:spacing w:after="120"/>
      </w:pPr>
    </w:p>
    <w:p>
      <w:pPr>
        <w:pStyle w:val="Heading3"/>
        <w:keepNext/>
      </w:pPr>
      <w:r>
        <w:rPr>
          <w:rFonts w:ascii="Calibri" w:cs="Calibri" w:eastAsia="Calibri" w:hAnsi="Calibri"/>
        </w:rPr>
        <w:t xml:space="preserve">Design decisions</w:t>
      </w:r>
    </w:p>
    <w:tbl>
      <w:tblPr>
        <w:tblW w:type="dxa" w:w="9360"/>
        <w:tblBorders>
          <w:top w:val="single" w:color="CBD5E1" w:sz="4"/>
          <w:left w:val="single" w:color="CBD5E1" w:sz="4"/>
          <w:bottom w:val="single" w:color="CBD5E1" w:sz="4"/>
          <w:right w:val="single" w:color="CBD5E1" w:sz="4"/>
          <w:insideH w:val="single" w:color="CBD5E1" w:sz="4"/>
          <w:insideV w:val="single" w:color="CBD5E1" w:sz="4"/>
        </w:tblBorders>
        <w:tblLayout w:type="fixed"/>
      </w:tblPr>
      <w:tblGrid>
        <w:gridCol w:w="2581"/>
        <w:gridCol w:w="4217"/>
        <w:gridCol w:w="2562"/>
      </w:tblGrid>
      <w:tr>
        <w:trPr>
          <w:cantSplit/>
          <w:tblHeader/>
        </w:trPr>
        <w:tc>
          <w:tcPr>
            <w:tcW w:type="dxa" w:w="2581"/>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Decision</w:t>
            </w:r>
          </w:p>
        </w:tc>
        <w:tc>
          <w:tcPr>
            <w:tcW w:type="dxa" w:w="4217"/>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Options</w:t>
            </w:r>
          </w:p>
        </w:tc>
        <w:tc>
          <w:tcPr>
            <w:tcW w:type="dxa" w:w="2562"/>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Choice and rationale</w:t>
            </w:r>
          </w:p>
        </w:tc>
      </w:tr>
      <w:tr>
        <w:trPr>
          <w:cantSplit/>
          <w:tblHeader w:val="false"/>
        </w:trPr>
        <w:tc>
          <w:tcPr>
            <w:tcW w:type="dxa" w:w="2581"/>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Orchestration pattern</w:t>
            </w:r>
          </w:p>
        </w:tc>
        <w:tc>
          <w:tcPr>
            <w:tcW w:type="dxa" w:w="4217"/>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Embedded</w:t>
            </w:r>
          </w:p>
          <w:p>
            <w:pPr>
              <w:spacing w:after="80" w:before="0" w:line="252"/>
            </w:pPr>
            <w:r>
              <w:rPr>
                <w:rFonts w:ascii="Calibri" w:cs="Calibri" w:eastAsia="Calibri" w:hAnsi="Calibri"/>
                <w:sz w:val="18"/>
                <w:szCs w:val="18"/>
              </w:rPr>
              <w:t xml:space="preserve">Dedicated orchestration tier</w:t>
            </w:r>
          </w:p>
          <w:p>
            <w:pPr>
              <w:spacing w:after="0" w:before="0" w:line="252"/>
            </w:pPr>
            <w:r>
              <w:rPr>
                <w:rFonts w:ascii="Calibri" w:cs="Calibri" w:eastAsia="Calibri" w:hAnsi="Calibri"/>
                <w:sz w:val="18"/>
                <w:szCs w:val="18"/>
              </w:rPr>
              <w:t xml:space="preserve">Hybrid/federated</w:t>
            </w:r>
          </w:p>
        </w:tc>
        <w:tc>
          <w:tcPr>
            <w:tcW w:type="dxa" w:w="2562"/>
            <w:tcMar>
              <w:top w:type="dxa" w:w="60"/>
              <w:left w:type="dxa" w:w="100"/>
              <w:bottom w:type="dxa" w:w="60"/>
              <w:right w:type="dxa" w:w="100"/>
            </w:tcMar>
            <w:vAlign w:val="top"/>
          </w:tcPr>
          <w:p>
            <w:pPr>
              <w:spacing w:after="0" w:before="0" w:line="252"/>
            </w:pPr>
          </w:p>
        </w:tc>
      </w:tr>
      <w:tr>
        <w:trPr>
          <w:cantSplit/>
          <w:tblHeader w:val="false"/>
        </w:trPr>
        <w:tc>
          <w:tcPr>
            <w:tcW w:type="dxa" w:w="2581"/>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Model hosting and routing</w:t>
            </w:r>
          </w:p>
        </w:tc>
        <w:tc>
          <w:tcPr>
            <w:tcW w:type="dxa" w:w="4217"/>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Provider SaaS under enterprise terms</w:t>
            </w:r>
          </w:p>
          <w:p>
            <w:pPr>
              <w:spacing w:after="80" w:before="0" w:line="252"/>
            </w:pPr>
            <w:r>
              <w:rPr>
                <w:rFonts w:ascii="Calibri" w:cs="Calibri" w:eastAsia="Calibri" w:hAnsi="Calibri"/>
                <w:sz w:val="18"/>
                <w:szCs w:val="18"/>
              </w:rPr>
              <w:t xml:space="preserve">Private models in the client’s VPC</w:t>
            </w:r>
          </w:p>
          <w:p>
            <w:pPr>
              <w:spacing w:after="0" w:before="0" w:line="252"/>
            </w:pPr>
            <w:r>
              <w:rPr>
                <w:rFonts w:ascii="Calibri" w:cs="Calibri" w:eastAsia="Calibri" w:hAnsi="Calibri"/>
                <w:sz w:val="18"/>
                <w:szCs w:val="18"/>
              </w:rPr>
              <w:t xml:space="preserve">Regions</w:t>
            </w:r>
          </w:p>
        </w:tc>
        <w:tc>
          <w:tcPr>
            <w:tcW w:type="dxa" w:w="2562"/>
            <w:tcMar>
              <w:top w:type="dxa" w:w="60"/>
              <w:left w:type="dxa" w:w="100"/>
              <w:bottom w:type="dxa" w:w="60"/>
              <w:right w:type="dxa" w:w="100"/>
            </w:tcMar>
            <w:vAlign w:val="top"/>
          </w:tcPr>
          <w:p>
            <w:pPr>
              <w:spacing w:after="0" w:before="0" w:line="252"/>
            </w:pPr>
          </w:p>
        </w:tc>
      </w:tr>
      <w:tr>
        <w:trPr>
          <w:cantSplit/>
          <w:tblHeader w:val="false"/>
        </w:trPr>
        <w:tc>
          <w:tcPr>
            <w:tcW w:type="dxa" w:w="2581"/>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Where gateways and MCP servers run</w:t>
            </w:r>
          </w:p>
        </w:tc>
        <w:tc>
          <w:tcPr>
            <w:tcW w:type="dxa" w:w="4217"/>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CloudHub (MuleSoft-managed) or customer-managed Runtime Fabric</w:t>
            </w:r>
          </w:p>
        </w:tc>
        <w:tc>
          <w:tcPr>
            <w:tcW w:type="dxa" w:w="2562"/>
            <w:tcMar>
              <w:top w:type="dxa" w:w="60"/>
              <w:left w:type="dxa" w:w="100"/>
              <w:bottom w:type="dxa" w:w="60"/>
              <w:right w:type="dxa" w:w="100"/>
            </w:tcMar>
            <w:vAlign w:val="top"/>
          </w:tcPr>
          <w:p>
            <w:pPr>
              <w:spacing w:after="0" w:before="0" w:line="252"/>
            </w:pPr>
          </w:p>
        </w:tc>
      </w:tr>
      <w:tr>
        <w:trPr>
          <w:cantSplit/>
          <w:tblHeader w:val="false"/>
        </w:trPr>
        <w:tc>
          <w:tcPr>
            <w:tcW w:type="dxa" w:w="2581"/>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Data residency and sovereignty</w:t>
            </w:r>
          </w:p>
        </w:tc>
        <w:tc>
          <w:tcPr>
            <w:tcW w:type="dxa" w:w="4217"/>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Regions, private links, customer-managed keys</w:t>
            </w:r>
          </w:p>
        </w:tc>
        <w:tc>
          <w:tcPr>
            <w:tcW w:type="dxa" w:w="2562"/>
            <w:tcMar>
              <w:top w:type="dxa" w:w="60"/>
              <w:left w:type="dxa" w:w="100"/>
              <w:bottom w:type="dxa" w:w="60"/>
              <w:right w:type="dxa" w:w="100"/>
            </w:tcMar>
            <w:vAlign w:val="top"/>
          </w:tcPr>
          <w:p>
            <w:pPr>
              <w:spacing w:after="0" w:before="0" w:line="252"/>
            </w:pPr>
          </w:p>
        </w:tc>
      </w:tr>
      <w:tr>
        <w:trPr>
          <w:cantSplit/>
          <w:tblHeader w:val="false"/>
        </w:trPr>
        <w:tc>
          <w:tcPr>
            <w:tcW w:type="dxa" w:w="2581"/>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Human approvals and tiers</w:t>
            </w:r>
          </w:p>
        </w:tc>
        <w:tc>
          <w:tcPr>
            <w:tcW w:type="dxa" w:w="4217"/>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Which actions need a person, and how approvals are bound and expire</w:t>
            </w:r>
          </w:p>
        </w:tc>
        <w:tc>
          <w:tcPr>
            <w:tcW w:type="dxa" w:w="2562"/>
            <w:tcMar>
              <w:top w:type="dxa" w:w="60"/>
              <w:left w:type="dxa" w:w="100"/>
              <w:bottom w:type="dxa" w:w="60"/>
              <w:right w:type="dxa" w:w="100"/>
            </w:tcMar>
            <w:vAlign w:val="top"/>
          </w:tcPr>
          <w:p>
            <w:pPr>
              <w:spacing w:after="0" w:before="0" w:line="252"/>
            </w:pPr>
          </w:p>
        </w:tc>
      </w:tr>
      <w:tr>
        <w:trPr>
          <w:cantSplit/>
          <w:tblHeader w:val="false"/>
        </w:trPr>
        <w:tc>
          <w:tcPr>
            <w:tcW w:type="dxa" w:w="2581"/>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Observability and audit</w:t>
            </w:r>
          </w:p>
        </w:tc>
        <w:tc>
          <w:tcPr>
            <w:tcW w:type="dxa" w:w="4217"/>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OpenTelemetry traces, SIEM, retention</w:t>
            </w:r>
          </w:p>
        </w:tc>
        <w:tc>
          <w:tcPr>
            <w:tcW w:type="dxa" w:w="2562"/>
            <w:tcMar>
              <w:top w:type="dxa" w:w="60"/>
              <w:left w:type="dxa" w:w="100"/>
              <w:bottom w:type="dxa" w:w="60"/>
              <w:right w:type="dxa" w:w="100"/>
            </w:tcMar>
            <w:vAlign w:val="top"/>
          </w:tcPr>
          <w:p>
            <w:pPr>
              <w:spacing w:after="0" w:before="0" w:line="252"/>
            </w:pPr>
          </w:p>
        </w:tc>
      </w:tr>
    </w:tbl>
    <w:p>
      <w:pPr>
        <w:spacing w:after="120"/>
      </w:pPr>
    </w:p>
    <w:p>
      <w:pPr>
        <w:pStyle w:val="Heading3"/>
        <w:keepNext/>
      </w:pPr>
      <w:r>
        <w:rPr>
          <w:rFonts w:ascii="Calibri" w:cs="Calibri" w:eastAsia="Calibri" w:hAnsi="Calibri"/>
        </w:rPr>
        <w:t xml:space="preserve">Design review checklist</w:t>
      </w:r>
    </w:p>
    <w:tbl>
      <w:tblPr>
        <w:tblW w:type="dxa" w:w="9360"/>
        <w:tblBorders>
          <w:top w:val="single" w:color="CBD5E1" w:sz="4"/>
          <w:left w:val="single" w:color="CBD5E1" w:sz="4"/>
          <w:bottom w:val="single" w:color="CBD5E1" w:sz="4"/>
          <w:right w:val="single" w:color="CBD5E1" w:sz="4"/>
          <w:insideH w:val="single" w:color="CBD5E1" w:sz="4"/>
          <w:insideV w:val="single" w:color="CBD5E1" w:sz="4"/>
        </w:tblBorders>
        <w:tblLayout w:type="fixed"/>
      </w:tblPr>
      <w:tblGrid>
        <w:gridCol w:w="3469"/>
        <w:gridCol w:w="2168"/>
        <w:gridCol w:w="1883"/>
        <w:gridCol w:w="1840"/>
      </w:tblGrid>
      <w:tr>
        <w:trPr>
          <w:cantSplit/>
          <w:tblHeader/>
        </w:trPr>
        <w:tc>
          <w:tcPr>
            <w:tcW w:type="dxa" w:w="3469"/>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Check</w:t>
            </w:r>
          </w:p>
        </w:tc>
        <w:tc>
          <w:tcPr>
            <w:tcW w:type="dxa" w:w="2168"/>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Framework</w:t>
            </w:r>
          </w:p>
        </w:tc>
        <w:tc>
          <w:tcPr>
            <w:tcW w:type="dxa" w:w="1883"/>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Yes, partly or no</w:t>
            </w:r>
          </w:p>
        </w:tc>
        <w:tc>
          <w:tcPr>
            <w:tcW w:type="dxa" w:w="1840"/>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Evidence</w:t>
            </w:r>
          </w:p>
        </w:tc>
      </w:tr>
      <w:tr>
        <w:trPr>
          <w:cantSplit/>
          <w:tblHeader w:val="false"/>
        </w:trPr>
        <w:tc>
          <w:tcPr>
            <w:tcW w:type="dxa" w:w="3469"/>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Every agent has an owner, a sponsor, a risk tier and an identity of its own</w:t>
            </w:r>
          </w:p>
        </w:tc>
        <w:tc>
          <w:tcPr>
            <w:tcW w:type="dxa" w:w="2168"/>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Cloud Adoption Framework</w:t>
            </w:r>
          </w:p>
          <w:p>
            <w:pPr>
              <w:spacing w:after="0" w:before="0" w:line="252"/>
            </w:pPr>
            <w:r>
              <w:rPr>
                <w:rFonts w:ascii="Calibri" w:cs="Calibri" w:eastAsia="Calibri" w:hAnsi="Calibri"/>
                <w:sz w:val="18"/>
                <w:szCs w:val="18"/>
              </w:rPr>
              <w:t xml:space="preserve">20 questions</w:t>
            </w:r>
          </w:p>
        </w:tc>
        <w:tc>
          <w:tcPr>
            <w:tcW w:type="dxa" w:w="1883"/>
            <w:tcMar>
              <w:top w:type="dxa" w:w="60"/>
              <w:left w:type="dxa" w:w="100"/>
              <w:bottom w:type="dxa" w:w="60"/>
              <w:right w:type="dxa" w:w="100"/>
            </w:tcMar>
            <w:vAlign w:val="top"/>
          </w:tcPr>
          <w:p>
            <w:pPr>
              <w:spacing w:after="0" w:before="0" w:line="252"/>
            </w:pPr>
          </w:p>
        </w:tc>
        <w:tc>
          <w:tcPr>
            <w:tcW w:type="dxa" w:w="1840"/>
            <w:tcMar>
              <w:top w:type="dxa" w:w="60"/>
              <w:left w:type="dxa" w:w="100"/>
              <w:bottom w:type="dxa" w:w="60"/>
              <w:right w:type="dxa" w:w="100"/>
            </w:tcMar>
            <w:vAlign w:val="top"/>
          </w:tcPr>
          <w:p>
            <w:pPr>
              <w:spacing w:after="0" w:before="0" w:line="252"/>
            </w:pPr>
          </w:p>
        </w:tc>
      </w:tr>
      <w:tr>
        <w:trPr>
          <w:cantSplit/>
          <w:tblHeader w:val="false"/>
        </w:trPr>
        <w:tc>
          <w:tcPr>
            <w:tcW w:type="dxa" w:w="3469"/>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Each agent’s tool access is least-privilege and allow-listed</w:t>
            </w:r>
          </w:p>
        </w:tc>
        <w:tc>
          <w:tcPr>
            <w:tcW w:type="dxa" w:w="216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Well-Architected Agentic AI Lens</w:t>
            </w:r>
          </w:p>
        </w:tc>
        <w:tc>
          <w:tcPr>
            <w:tcW w:type="dxa" w:w="1883"/>
            <w:tcMar>
              <w:top w:type="dxa" w:w="60"/>
              <w:left w:type="dxa" w:w="100"/>
              <w:bottom w:type="dxa" w:w="60"/>
              <w:right w:type="dxa" w:w="100"/>
            </w:tcMar>
            <w:vAlign w:val="top"/>
          </w:tcPr>
          <w:p>
            <w:pPr>
              <w:spacing w:after="0" w:before="0" w:line="252"/>
            </w:pPr>
          </w:p>
        </w:tc>
        <w:tc>
          <w:tcPr>
            <w:tcW w:type="dxa" w:w="1840"/>
            <w:tcMar>
              <w:top w:type="dxa" w:w="60"/>
              <w:left w:type="dxa" w:w="100"/>
              <w:bottom w:type="dxa" w:w="60"/>
              <w:right w:type="dxa" w:w="100"/>
            </w:tcMar>
            <w:vAlign w:val="top"/>
          </w:tcPr>
          <w:p>
            <w:pPr>
              <w:spacing w:after="0" w:before="0" w:line="252"/>
            </w:pPr>
          </w:p>
        </w:tc>
      </w:tr>
      <w:tr>
        <w:trPr>
          <w:cantSplit/>
          <w:tblHeader w:val="false"/>
        </w:trPr>
        <w:tc>
          <w:tcPr>
            <w:tcW w:type="dxa" w:w="3469"/>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Human oversight matches the risk and reversibility of each action</w:t>
            </w:r>
          </w:p>
        </w:tc>
        <w:tc>
          <w:tcPr>
            <w:tcW w:type="dxa" w:w="216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Well-Architected Agentic AI Lens</w:t>
            </w:r>
          </w:p>
        </w:tc>
        <w:tc>
          <w:tcPr>
            <w:tcW w:type="dxa" w:w="1883"/>
            <w:tcMar>
              <w:top w:type="dxa" w:w="60"/>
              <w:left w:type="dxa" w:w="100"/>
              <w:bottom w:type="dxa" w:w="60"/>
              <w:right w:type="dxa" w:w="100"/>
            </w:tcMar>
            <w:vAlign w:val="top"/>
          </w:tcPr>
          <w:p>
            <w:pPr>
              <w:spacing w:after="0" w:before="0" w:line="252"/>
            </w:pPr>
          </w:p>
        </w:tc>
        <w:tc>
          <w:tcPr>
            <w:tcW w:type="dxa" w:w="1840"/>
            <w:tcMar>
              <w:top w:type="dxa" w:w="60"/>
              <w:left w:type="dxa" w:w="100"/>
              <w:bottom w:type="dxa" w:w="60"/>
              <w:right w:type="dxa" w:w="100"/>
            </w:tcMar>
            <w:vAlign w:val="top"/>
          </w:tcPr>
          <w:p>
            <w:pPr>
              <w:spacing w:after="0" w:before="0" w:line="252"/>
            </w:pPr>
          </w:p>
        </w:tc>
      </w:tr>
      <w:tr>
        <w:trPr>
          <w:cantSplit/>
          <w:tblHeader w:val="false"/>
        </w:trPr>
        <w:tc>
          <w:tcPr>
            <w:tcW w:type="dxa" w:w="3469"/>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Agents’ data access is aligned with their users’ access</w:t>
            </w:r>
          </w:p>
        </w:tc>
        <w:tc>
          <w:tcPr>
            <w:tcW w:type="dxa" w:w="216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20 questions</w:t>
            </w:r>
          </w:p>
        </w:tc>
        <w:tc>
          <w:tcPr>
            <w:tcW w:type="dxa" w:w="1883"/>
            <w:tcMar>
              <w:top w:type="dxa" w:w="60"/>
              <w:left w:type="dxa" w:w="100"/>
              <w:bottom w:type="dxa" w:w="60"/>
              <w:right w:type="dxa" w:w="100"/>
            </w:tcMar>
            <w:vAlign w:val="top"/>
          </w:tcPr>
          <w:p>
            <w:pPr>
              <w:spacing w:after="0" w:before="0" w:line="252"/>
            </w:pPr>
          </w:p>
        </w:tc>
        <w:tc>
          <w:tcPr>
            <w:tcW w:type="dxa" w:w="1840"/>
            <w:tcMar>
              <w:top w:type="dxa" w:w="60"/>
              <w:left w:type="dxa" w:w="100"/>
              <w:bottom w:type="dxa" w:w="60"/>
              <w:right w:type="dxa" w:w="100"/>
            </w:tcMar>
            <w:vAlign w:val="top"/>
          </w:tcPr>
          <w:p>
            <w:pPr>
              <w:spacing w:after="0" w:before="0" w:line="252"/>
            </w:pPr>
          </w:p>
        </w:tc>
      </w:tr>
      <w:tr>
        <w:trPr>
          <w:cantSplit/>
          <w:tblHeader w:val="false"/>
        </w:trPr>
        <w:tc>
          <w:tcPr>
            <w:tcW w:type="dxa" w:w="3469"/>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Only trusted, registered MCP and A2A servers are reachable</w:t>
            </w:r>
          </w:p>
        </w:tc>
        <w:tc>
          <w:tcPr>
            <w:tcW w:type="dxa" w:w="216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Cloud Adoption Framework</w:t>
            </w:r>
          </w:p>
        </w:tc>
        <w:tc>
          <w:tcPr>
            <w:tcW w:type="dxa" w:w="1883"/>
            <w:tcMar>
              <w:top w:type="dxa" w:w="60"/>
              <w:left w:type="dxa" w:w="100"/>
              <w:bottom w:type="dxa" w:w="60"/>
              <w:right w:type="dxa" w:w="100"/>
            </w:tcMar>
            <w:vAlign w:val="top"/>
          </w:tcPr>
          <w:p>
            <w:pPr>
              <w:spacing w:after="0" w:before="0" w:line="252"/>
            </w:pPr>
          </w:p>
        </w:tc>
        <w:tc>
          <w:tcPr>
            <w:tcW w:type="dxa" w:w="1840"/>
            <w:tcMar>
              <w:top w:type="dxa" w:w="60"/>
              <w:left w:type="dxa" w:w="100"/>
              <w:bottom w:type="dxa" w:w="60"/>
              <w:right w:type="dxa" w:w="100"/>
            </w:tcMar>
            <w:vAlign w:val="top"/>
          </w:tcPr>
          <w:p>
            <w:pPr>
              <w:spacing w:after="0" w:before="0" w:line="252"/>
            </w:pPr>
          </w:p>
        </w:tc>
      </w:tr>
      <w:tr>
        <w:trPr>
          <w:cantSplit/>
          <w:tblHeader w:val="false"/>
        </w:trPr>
        <w:tc>
          <w:tcPr>
            <w:tcW w:type="dxa" w:w="3469"/>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New policies start in audit mode, then enforce</w:t>
            </w:r>
          </w:p>
        </w:tc>
        <w:tc>
          <w:tcPr>
            <w:tcW w:type="dxa" w:w="216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Cloud Adoption Framework</w:t>
            </w:r>
          </w:p>
        </w:tc>
        <w:tc>
          <w:tcPr>
            <w:tcW w:type="dxa" w:w="1883"/>
            <w:tcMar>
              <w:top w:type="dxa" w:w="60"/>
              <w:left w:type="dxa" w:w="100"/>
              <w:bottom w:type="dxa" w:w="60"/>
              <w:right w:type="dxa" w:w="100"/>
            </w:tcMar>
            <w:vAlign w:val="top"/>
          </w:tcPr>
          <w:p>
            <w:pPr>
              <w:spacing w:after="0" w:before="0" w:line="252"/>
            </w:pPr>
          </w:p>
        </w:tc>
        <w:tc>
          <w:tcPr>
            <w:tcW w:type="dxa" w:w="1840"/>
            <w:tcMar>
              <w:top w:type="dxa" w:w="60"/>
              <w:left w:type="dxa" w:w="100"/>
              <w:bottom w:type="dxa" w:w="60"/>
              <w:right w:type="dxa" w:w="100"/>
            </w:tcMar>
            <w:vAlign w:val="top"/>
          </w:tcPr>
          <w:p>
            <w:pPr>
              <w:spacing w:after="0" w:before="0" w:line="252"/>
            </w:pPr>
          </w:p>
        </w:tc>
      </w:tr>
      <w:tr>
        <w:trPr>
          <w:cantSplit/>
          <w:tblHeader w:val="false"/>
        </w:trPr>
        <w:tc>
          <w:tcPr>
            <w:tcW w:type="dxa" w:w="3469"/>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Agent reasoning, tool calls and hand-offs are traced end to end</w:t>
            </w:r>
          </w:p>
        </w:tc>
        <w:tc>
          <w:tcPr>
            <w:tcW w:type="dxa" w:w="2168"/>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Well-Architected Agentic AI Lens</w:t>
            </w:r>
          </w:p>
          <w:p>
            <w:pPr>
              <w:spacing w:after="0" w:before="0" w:line="252"/>
            </w:pPr>
            <w:r>
              <w:rPr>
                <w:rFonts w:ascii="Calibri" w:cs="Calibri" w:eastAsia="Calibri" w:hAnsi="Calibri"/>
                <w:sz w:val="18"/>
                <w:szCs w:val="18"/>
              </w:rPr>
              <w:t xml:space="preserve">20 questions</w:t>
            </w:r>
          </w:p>
        </w:tc>
        <w:tc>
          <w:tcPr>
            <w:tcW w:type="dxa" w:w="1883"/>
            <w:tcMar>
              <w:top w:type="dxa" w:w="60"/>
              <w:left w:type="dxa" w:w="100"/>
              <w:bottom w:type="dxa" w:w="60"/>
              <w:right w:type="dxa" w:w="100"/>
            </w:tcMar>
            <w:vAlign w:val="top"/>
          </w:tcPr>
          <w:p>
            <w:pPr>
              <w:spacing w:after="0" w:before="0" w:line="252"/>
            </w:pPr>
          </w:p>
        </w:tc>
        <w:tc>
          <w:tcPr>
            <w:tcW w:type="dxa" w:w="1840"/>
            <w:tcMar>
              <w:top w:type="dxa" w:w="60"/>
              <w:left w:type="dxa" w:w="100"/>
              <w:bottom w:type="dxa" w:w="60"/>
              <w:right w:type="dxa" w:w="100"/>
            </w:tcMar>
            <w:vAlign w:val="top"/>
          </w:tcPr>
          <w:p>
            <w:pPr>
              <w:spacing w:after="0" w:before="0" w:line="252"/>
            </w:pPr>
          </w:p>
        </w:tc>
      </w:tr>
      <w:tr>
        <w:trPr>
          <w:cantSplit/>
          <w:tblHeader w:val="false"/>
        </w:trPr>
        <w:tc>
          <w:tcPr>
            <w:tcW w:type="dxa" w:w="3469"/>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Agent costs are tagged to cost centers, with alerts as spend nears budget</w:t>
            </w:r>
          </w:p>
        </w:tc>
        <w:tc>
          <w:tcPr>
            <w:tcW w:type="dxa" w:w="2168"/>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Cloud Adoption Framework</w:t>
            </w:r>
          </w:p>
          <w:p>
            <w:pPr>
              <w:spacing w:after="0" w:before="0" w:line="252"/>
            </w:pPr>
            <w:r>
              <w:rPr>
                <w:rFonts w:ascii="Calibri" w:cs="Calibri" w:eastAsia="Calibri" w:hAnsi="Calibri"/>
                <w:sz w:val="18"/>
                <w:szCs w:val="18"/>
              </w:rPr>
              <w:t xml:space="preserve">Well-Architected Agentic AI Lens</w:t>
            </w:r>
          </w:p>
        </w:tc>
        <w:tc>
          <w:tcPr>
            <w:tcW w:type="dxa" w:w="1883"/>
            <w:tcMar>
              <w:top w:type="dxa" w:w="60"/>
              <w:left w:type="dxa" w:w="100"/>
              <w:bottom w:type="dxa" w:w="60"/>
              <w:right w:type="dxa" w:w="100"/>
            </w:tcMar>
            <w:vAlign w:val="top"/>
          </w:tcPr>
          <w:p>
            <w:pPr>
              <w:spacing w:after="0" w:before="0" w:line="252"/>
            </w:pPr>
          </w:p>
        </w:tc>
        <w:tc>
          <w:tcPr>
            <w:tcW w:type="dxa" w:w="1840"/>
            <w:tcMar>
              <w:top w:type="dxa" w:w="60"/>
              <w:left w:type="dxa" w:w="100"/>
              <w:bottom w:type="dxa" w:w="60"/>
              <w:right w:type="dxa" w:w="100"/>
            </w:tcMar>
            <w:vAlign w:val="top"/>
          </w:tcPr>
          <w:p>
            <w:pPr>
              <w:spacing w:after="0" w:before="0" w:line="252"/>
            </w:pPr>
          </w:p>
        </w:tc>
      </w:tr>
      <w:tr>
        <w:trPr>
          <w:cantSplit/>
          <w:tblHeader w:val="false"/>
        </w:trPr>
        <w:tc>
          <w:tcPr>
            <w:tcW w:type="dxa" w:w="3469"/>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Adversarial testing runs before release and on a schedule</w:t>
            </w:r>
          </w:p>
        </w:tc>
        <w:tc>
          <w:tcPr>
            <w:tcW w:type="dxa" w:w="216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Cloud Adoption Framework</w:t>
            </w:r>
          </w:p>
        </w:tc>
        <w:tc>
          <w:tcPr>
            <w:tcW w:type="dxa" w:w="1883"/>
            <w:tcMar>
              <w:top w:type="dxa" w:w="60"/>
              <w:left w:type="dxa" w:w="100"/>
              <w:bottom w:type="dxa" w:w="60"/>
              <w:right w:type="dxa" w:w="100"/>
            </w:tcMar>
            <w:vAlign w:val="top"/>
          </w:tcPr>
          <w:p>
            <w:pPr>
              <w:spacing w:after="0" w:before="0" w:line="252"/>
            </w:pPr>
          </w:p>
        </w:tc>
        <w:tc>
          <w:tcPr>
            <w:tcW w:type="dxa" w:w="1840"/>
            <w:tcMar>
              <w:top w:type="dxa" w:w="60"/>
              <w:left w:type="dxa" w:w="100"/>
              <w:bottom w:type="dxa" w:w="60"/>
              <w:right w:type="dxa" w:w="100"/>
            </w:tcMar>
            <w:vAlign w:val="top"/>
          </w:tcPr>
          <w:p>
            <w:pPr>
              <w:spacing w:after="0" w:before="0" w:line="252"/>
            </w:pPr>
          </w:p>
        </w:tc>
      </w:tr>
      <w:tr>
        <w:trPr>
          <w:cantSplit/>
          <w:tblHeader w:val="false"/>
        </w:trPr>
        <w:tc>
          <w:tcPr>
            <w:tcW w:type="dxa" w:w="3469"/>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There is a tested way to disable a misbehaving agent and hand over its work</w:t>
            </w:r>
          </w:p>
        </w:tc>
        <w:tc>
          <w:tcPr>
            <w:tcW w:type="dxa" w:w="216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Cloud Adoption Framework</w:t>
            </w:r>
          </w:p>
        </w:tc>
        <w:tc>
          <w:tcPr>
            <w:tcW w:type="dxa" w:w="1883"/>
            <w:tcMar>
              <w:top w:type="dxa" w:w="60"/>
              <w:left w:type="dxa" w:w="100"/>
              <w:bottom w:type="dxa" w:w="60"/>
              <w:right w:type="dxa" w:w="100"/>
            </w:tcMar>
            <w:vAlign w:val="top"/>
          </w:tcPr>
          <w:p>
            <w:pPr>
              <w:spacing w:after="0" w:before="0" w:line="252"/>
            </w:pPr>
          </w:p>
        </w:tc>
        <w:tc>
          <w:tcPr>
            <w:tcW w:type="dxa" w:w="1840"/>
            <w:tcMar>
              <w:top w:type="dxa" w:w="60"/>
              <w:left w:type="dxa" w:w="100"/>
              <w:bottom w:type="dxa" w:w="60"/>
              <w:right w:type="dxa" w:w="100"/>
            </w:tcMar>
            <w:vAlign w:val="top"/>
          </w:tcPr>
          <w:p>
            <w:pPr>
              <w:spacing w:after="0" w:before="0" w:line="252"/>
            </w:pPr>
          </w:p>
        </w:tc>
      </w:tr>
    </w:tbl>
    <w:p>
      <w:pPr>
        <w:spacing w:after="120"/>
      </w:pPr>
    </w:p>
    <w:p>
      <w:pPr>
        <w:keepNext/>
        <w:spacing w:after="60" w:before="120" w:line="240" w:lineRule="auto"/>
        <w:jc w:val="center"/>
      </w:pPr>
      <w:r>
        <w:drawing>
          <wp:inline distT="0" distB="0" distL="0" distR="0">
            <wp:extent cx="5943600" cy="2609850"/>
            <wp:effectExtent t="0" r="0" b="0" l="0"/>
            <wp:docPr id="3" name="Figure 7" descr="Vendor-neutral solution architecture template" title="Fig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 descr=""/>
                    <pic:cNvPicPr>
                      <a:picLocks noChangeAspect="1" noChangeArrowheads="1"/>
                    </pic:cNvPicPr>
                  </pic:nvPicPr>
                  <pic:blipFill>
                    <a:blip r:embed="rId13" cstate="none"/>
                    <a:srcRect/>
                    <a:stretch>
                      <a:fillRect/>
                    </a:stretch>
                  </pic:blipFill>
                  <pic:spPr bwMode="auto">
                    <a:xfrm>
                      <a:off x="0" y="0"/>
                      <a:ext cx="5943600" cy="2609850"/>
                    </a:xfrm>
                    <a:prstGeom prst="rect">
                      <a:avLst/>
                    </a:prstGeom>
                  </pic:spPr>
                </pic:pic>
              </a:graphicData>
            </a:graphic>
          </wp:inline>
        </w:drawing>
      </w:r>
    </w:p>
    <w:p>
      <w:pPr>
        <w:spacing w:after="240"/>
      </w:pPr>
      <w:r>
        <w:rPr>
          <w:rFonts w:ascii="Calibri" w:cs="Calibri" w:eastAsia="Calibri" w:hAnsi="Calibri"/>
          <w:i/>
          <w:iCs/>
          <w:color w:val="64748B"/>
          <w:sz w:val="18"/>
          <w:szCs w:val="18"/>
        </w:rPr>
        <w:t xml:space="preserve">Figure 7. Template: the vendor-neutral solution architecture, as it appears in Part 2 of the client deck.</w:t>
      </w:r>
    </w:p>
    <w:p>
      <w:pPr>
        <w:pStyle w:val="Heading2"/>
        <w:keepNext/>
        <w:pageBreakBefore/>
      </w:pPr>
      <w:bookmarkStart w:name="p1_T8" w:id="10"/>
      <w:r>
        <w:rPr>
          <w:rFonts w:ascii="Calibri" w:cs="Calibri" w:eastAsia="Calibri" w:hAnsi="Calibri"/>
        </w:rPr>
        <w:t xml:space="preserve">T8. A day in the life</w:t>
      </w:r>
      <w:bookmarkEnd w:id="10"/>
    </w:p>
    <w:tbl>
      <w:tblPr>
        <w:tblW w:type="dxa" w:w="9360"/>
        <w:tblBorders>
          <w:top w:val="single" w:color="B6D4EA" w:sz="4"/>
          <w:left w:val="single" w:color="B6D4EA" w:sz="4"/>
          <w:bottom w:val="single" w:color="B6D4EA" w:sz="4"/>
          <w:right w:val="single" w:color="B6D4EA" w:sz="4"/>
          <w:insideH w:val="single" w:color="B6D4EA" w:sz="4"/>
          <w:insideV w:val="single" w:color="B6D4EA" w:sz="4"/>
        </w:tblBorders>
        <w:tblLayout w:type="fixed"/>
      </w:tblPr>
      <w:tblGrid>
        <w:gridCol w:w="9360"/>
      </w:tblGrid>
      <w:tr>
        <w:trPr>
          <w:cantSplit/>
        </w:trPr>
        <w:tc>
          <w:tcPr>
            <w:tcW w:type="dxa" w:w="9360"/>
            <w:shd w:fill="EEF6FC" w:color="auto" w:val="clear"/>
            <w:tcMar>
              <w:top w:type="dxa" w:w="140"/>
              <w:left w:type="dxa" w:w="200"/>
              <w:bottom w:type="dxa" w:w="140"/>
              <w:right w:type="dxa" w:w="200"/>
            </w:tcMar>
          </w:tcPr>
          <w:p>
            <w:pPr>
              <w:spacing w:after="100"/>
            </w:pPr>
            <w:r>
              <w:rPr>
                <w:rFonts w:ascii="Calibri" w:cs="Calibri" w:eastAsia="Calibri" w:hAnsi="Calibri"/>
                <w:b/>
                <w:bCs/>
                <w:color w:val="0369A1"/>
                <w:sz w:val="22"/>
                <w:szCs w:val="22"/>
              </w:rPr>
              <w:t xml:space="preserve">How to use T8</w:t>
            </w:r>
          </w:p>
          <w:p>
            <w:pPr>
              <w:spacing w:after="80"/>
            </w:pPr>
            <w:r>
              <w:rPr>
                <w:rFonts w:ascii="Calibri" w:cs="Calibri" w:eastAsia="Calibri" w:hAnsi="Calibri"/>
                <w:b/>
                <w:bCs/>
                <w:sz w:val="20"/>
                <w:szCs w:val="20"/>
              </w:rPr>
              <w:t xml:space="preserve">Purpose.</w:t>
            </w:r>
            <w:r>
              <w:rPr>
                <w:rFonts w:ascii="Calibri" w:cs="Calibri" w:eastAsia="Calibri" w:hAnsi="Calibri"/>
                <w:sz w:val="20"/>
                <w:szCs w:val="20"/>
              </w:rPr>
              <w:t xml:space="preserve">  Make the architecture human: one persona, one realistic case, from trigger to end state.</w:t>
            </w:r>
          </w:p>
          <w:p>
            <w:pPr>
              <w:spacing w:after="80"/>
            </w:pPr>
            <w:r>
              <w:rPr>
                <w:rFonts w:ascii="Calibri" w:cs="Calibri" w:eastAsia="Calibri" w:hAnsi="Calibri"/>
                <w:b/>
                <w:bCs/>
                <w:sz w:val="20"/>
                <w:szCs w:val="20"/>
              </w:rPr>
              <w:t xml:space="preserve">When.</w:t>
            </w:r>
            <w:r>
              <w:rPr>
                <w:rFonts w:ascii="Calibri" w:cs="Calibri" w:eastAsia="Calibri" w:hAnsi="Calibri"/>
                <w:sz w:val="20"/>
                <w:szCs w:val="20"/>
              </w:rPr>
              <w:t xml:space="preserve">  Step 4 (design).</w:t>
            </w:r>
          </w:p>
          <w:p>
            <w:pPr>
              <w:spacing w:after="80"/>
            </w:pPr>
            <w:r>
              <w:rPr>
                <w:rFonts w:ascii="Calibri" w:cs="Calibri" w:eastAsia="Calibri" w:hAnsi="Calibri"/>
                <w:b/>
                <w:bCs/>
                <w:sz w:val="20"/>
                <w:szCs w:val="20"/>
              </w:rPr>
              <w:t xml:space="preserve">Who.</w:t>
            </w:r>
            <w:r>
              <w:rPr>
                <w:rFonts w:ascii="Calibri" w:cs="Calibri" w:eastAsia="Calibri" w:hAnsi="Calibri"/>
                <w:sz w:val="20"/>
                <w:szCs w:val="20"/>
              </w:rPr>
              <w:t xml:space="preserve">  The lead architect, checked with a real user.</w:t>
            </w:r>
          </w:p>
          <w:p>
            <w:pPr>
              <w:spacing w:after="60" w:before="120"/>
            </w:pPr>
            <w:r>
              <w:rPr>
                <w:rFonts w:ascii="Calibri" w:cs="Calibri" w:eastAsia="Calibri" w:hAnsi="Calibri"/>
                <w:b/>
                <w:bCs/>
                <w:color w:val="1E293B"/>
                <w:sz w:val="20"/>
                <w:szCs w:val="20"/>
              </w:rPr>
              <w:t xml:space="preserve">How to fill it</w:t>
            </w:r>
          </w:p>
          <w:p>
            <w:pPr>
              <w:pStyle w:val="ListParagraph"/>
              <w:numPr>
                <w:ilvl w:val="0"/>
                <w:numId w:val="15"/>
              </w:numPr>
              <w:spacing w:after="60"/>
            </w:pPr>
            <w:r>
              <w:rPr>
                <w:rFonts w:ascii="Calibri" w:cs="Calibri" w:eastAsia="Calibri" w:hAnsi="Calibri"/>
                <w:sz w:val="20"/>
                <w:szCs w:val="20"/>
              </w:rPr>
              <w:t xml:space="preserve">Choose a persona and a realistic case in the first phase’s scope.</w:t>
            </w:r>
          </w:p>
          <w:p>
            <w:pPr>
              <w:pStyle w:val="ListParagraph"/>
              <w:numPr>
                <w:ilvl w:val="0"/>
                <w:numId w:val="15"/>
              </w:numPr>
              <w:spacing w:after="60"/>
            </w:pPr>
            <w:r>
              <w:rPr>
                <w:rFonts w:ascii="Calibri" w:cs="Calibri" w:eastAsia="Calibri" w:hAnsi="Calibri"/>
                <w:sz w:val="20"/>
                <w:szCs w:val="20"/>
              </w:rPr>
              <w:t xml:space="preserve">Write six to eight timestamped moments from the trigger to the end state.</w:t>
            </w:r>
          </w:p>
          <w:p>
            <w:pPr>
              <w:pStyle w:val="ListParagraph"/>
              <w:numPr>
                <w:ilvl w:val="0"/>
                <w:numId w:val="15"/>
              </w:numPr>
              <w:spacing w:after="60"/>
            </w:pPr>
            <w:r>
              <w:rPr>
                <w:rFonts w:ascii="Calibri" w:cs="Calibri" w:eastAsia="Calibri" w:hAnsi="Calibri"/>
                <w:sz w:val="20"/>
                <w:szCs w:val="20"/>
              </w:rPr>
              <w:t xml:space="preserve">Show every human decision, and one moment where a control changes the outcome.</w:t>
            </w:r>
          </w:p>
          <w:p>
            <w:pPr>
              <w:pStyle w:val="ListParagraph"/>
              <w:numPr>
                <w:ilvl w:val="0"/>
                <w:numId w:val="15"/>
              </w:numPr>
              <w:spacing w:after="60"/>
            </w:pPr>
            <w:r>
              <w:rPr>
                <w:rFonts w:ascii="Calibri" w:cs="Calibri" w:eastAsia="Calibri" w:hAnsi="Calibri"/>
                <w:sz w:val="20"/>
                <w:szCs w:val="20"/>
              </w:rPr>
              <w:t xml:space="preserve">End with the result in business terms.</w:t>
            </w:r>
          </w:p>
          <w:p>
            <w:pPr>
              <w:spacing w:after="80"/>
            </w:pPr>
            <w:r>
              <w:rPr>
                <w:rFonts w:ascii="Calibri" w:cs="Calibri" w:eastAsia="Calibri" w:hAnsi="Calibri"/>
                <w:b/>
                <w:bCs/>
                <w:sz w:val="20"/>
                <w:szCs w:val="20"/>
              </w:rPr>
              <w:t xml:space="preserve">Feeds.</w:t>
            </w:r>
            <w:r>
              <w:rPr>
                <w:rFonts w:ascii="Calibri" w:cs="Calibri" w:eastAsia="Calibri" w:hAnsi="Calibri"/>
                <w:sz w:val="20"/>
                <w:szCs w:val="20"/>
              </w:rPr>
              <w:t xml:space="preserve">  Client deck: A day in the life. Client report: section 8.</w:t>
            </w:r>
          </w:p>
        </w:tc>
      </w:tr>
    </w:tbl>
    <w:p>
      <w:pPr>
        <w:spacing w:after="120"/>
      </w:pPr>
    </w:p>
    <w:tbl>
      <w:tblPr>
        <w:tblW w:type="dxa" w:w="9360"/>
        <w:tblBorders>
          <w:top w:val="single" w:color="CBD5E1" w:sz="4"/>
          <w:left w:val="single" w:color="CBD5E1" w:sz="4"/>
          <w:bottom w:val="single" w:color="CBD5E1" w:sz="4"/>
          <w:right w:val="single" w:color="CBD5E1" w:sz="4"/>
          <w:insideH w:val="single" w:color="CBD5E1" w:sz="4"/>
          <w:insideV w:val="single" w:color="CBD5E1" w:sz="4"/>
        </w:tblBorders>
        <w:tblLayout w:type="fixed"/>
      </w:tblPr>
      <w:tblGrid>
        <w:gridCol w:w="3331"/>
        <w:gridCol w:w="6029"/>
      </w:tblGrid>
      <w:tr>
        <w:trPr>
          <w:cantSplit/>
          <w:tblHeader w:val="false"/>
        </w:trPr>
        <w:tc>
          <w:tcPr>
            <w:tcW w:type="dxa" w:w="3331"/>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Persona</w:t>
            </w:r>
          </w:p>
        </w:tc>
        <w:tc>
          <w:tcPr>
            <w:tcW w:type="dxa" w:w="6029"/>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[Name, role, team]</w:t>
            </w:r>
          </w:p>
        </w:tc>
      </w:tr>
      <w:tr>
        <w:trPr>
          <w:cantSplit/>
          <w:tblHeader w:val="false"/>
        </w:trPr>
        <w:tc>
          <w:tcPr>
            <w:tcW w:type="dxa" w:w="3331"/>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The case</w:t>
            </w:r>
          </w:p>
        </w:tc>
        <w:tc>
          <w:tcPr>
            <w:tcW w:type="dxa" w:w="6029"/>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[What happens and why it matters]</w:t>
            </w:r>
          </w:p>
        </w:tc>
      </w:tr>
    </w:tbl>
    <w:p>
      <w:pPr>
        <w:spacing w:after="120"/>
      </w:pPr>
    </w:p>
    <w:tbl>
      <w:tblPr>
        <w:tblW w:type="dxa" w:w="9360"/>
        <w:tblBorders>
          <w:top w:val="single" w:color="CBD5E1" w:sz="4"/>
          <w:left w:val="single" w:color="CBD5E1" w:sz="4"/>
          <w:bottom w:val="single" w:color="CBD5E1" w:sz="4"/>
          <w:right w:val="single" w:color="CBD5E1" w:sz="4"/>
          <w:insideH w:val="single" w:color="CBD5E1" w:sz="4"/>
          <w:insideV w:val="single" w:color="CBD5E1" w:sz="4"/>
        </w:tblBorders>
        <w:tblLayout w:type="fixed"/>
      </w:tblPr>
      <w:tblGrid>
        <w:gridCol w:w="2270"/>
        <w:gridCol w:w="2294"/>
        <w:gridCol w:w="2393"/>
        <w:gridCol w:w="2403"/>
      </w:tblGrid>
      <w:tr>
        <w:trPr>
          <w:cantSplit/>
          <w:tblHeader/>
        </w:trPr>
        <w:tc>
          <w:tcPr>
            <w:tcW w:type="dxa" w:w="2270"/>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Time</w:t>
            </w:r>
          </w:p>
        </w:tc>
        <w:tc>
          <w:tcPr>
            <w:tcW w:type="dxa" w:w="2294"/>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Moment</w:t>
            </w:r>
          </w:p>
        </w:tc>
        <w:tc>
          <w:tcPr>
            <w:tcW w:type="dxa" w:w="2393"/>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What happens</w:t>
            </w:r>
          </w:p>
        </w:tc>
        <w:tc>
          <w:tcPr>
            <w:tcW w:type="dxa" w:w="2403"/>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Who decides</w:t>
            </w:r>
          </w:p>
        </w:tc>
      </w:tr>
      <w:tr>
        <w:trPr>
          <w:cantSplit/>
          <w:tblHeader w:val="false"/>
        </w:trPr>
        <w:tc>
          <w:tcPr>
            <w:tcW w:type="dxa" w:w="2270"/>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[hh:mm]</w:t>
            </w:r>
          </w:p>
        </w:tc>
        <w:tc>
          <w:tcPr>
            <w:tcW w:type="dxa" w:w="2294"/>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[Moment]</w:t>
            </w:r>
          </w:p>
        </w:tc>
        <w:tc>
          <w:tcPr>
            <w:tcW w:type="dxa" w:w="2393"/>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[What happens]</w:t>
            </w:r>
          </w:p>
        </w:tc>
        <w:tc>
          <w:tcPr>
            <w:tcW w:type="dxa" w:w="2403"/>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[Person or none]</w:t>
            </w:r>
          </w:p>
        </w:tc>
      </w:tr>
      <w:tr>
        <w:trPr>
          <w:cantSplit/>
          <w:tblHeader w:val="false"/>
          <w:trHeight w:val="400" w:hRule="atLeast"/>
        </w:trPr>
        <w:tc>
          <w:tcPr>
            <w:tcW w:type="dxa" w:w="2270"/>
            <w:tcMar>
              <w:top w:type="dxa" w:w="60"/>
              <w:left w:type="dxa" w:w="100"/>
              <w:bottom w:type="dxa" w:w="60"/>
              <w:right w:type="dxa" w:w="100"/>
            </w:tcMar>
            <w:vAlign w:val="top"/>
          </w:tcPr>
          <w:p>
            <w:pPr>
              <w:spacing w:after="0" w:before="0" w:line="252"/>
            </w:pPr>
          </w:p>
        </w:tc>
        <w:tc>
          <w:tcPr>
            <w:tcW w:type="dxa" w:w="2294"/>
            <w:tcMar>
              <w:top w:type="dxa" w:w="60"/>
              <w:left w:type="dxa" w:w="100"/>
              <w:bottom w:type="dxa" w:w="60"/>
              <w:right w:type="dxa" w:w="100"/>
            </w:tcMar>
            <w:vAlign w:val="top"/>
          </w:tcPr>
          <w:p>
            <w:pPr>
              <w:spacing w:after="0" w:before="0" w:line="252"/>
            </w:pPr>
          </w:p>
        </w:tc>
        <w:tc>
          <w:tcPr>
            <w:tcW w:type="dxa" w:w="2393"/>
            <w:tcMar>
              <w:top w:type="dxa" w:w="60"/>
              <w:left w:type="dxa" w:w="100"/>
              <w:bottom w:type="dxa" w:w="60"/>
              <w:right w:type="dxa" w:w="100"/>
            </w:tcMar>
            <w:vAlign w:val="top"/>
          </w:tcPr>
          <w:p>
            <w:pPr>
              <w:spacing w:after="0" w:before="0" w:line="252"/>
            </w:pPr>
          </w:p>
        </w:tc>
        <w:tc>
          <w:tcPr>
            <w:tcW w:type="dxa" w:w="2403"/>
            <w:tcMar>
              <w:top w:type="dxa" w:w="60"/>
              <w:left w:type="dxa" w:w="100"/>
              <w:bottom w:type="dxa" w:w="60"/>
              <w:right w:type="dxa" w:w="100"/>
            </w:tcMar>
            <w:vAlign w:val="top"/>
          </w:tcPr>
          <w:p>
            <w:pPr>
              <w:spacing w:after="0" w:before="0" w:line="252"/>
            </w:pPr>
          </w:p>
        </w:tc>
      </w:tr>
      <w:tr>
        <w:trPr>
          <w:cantSplit/>
          <w:tblHeader w:val="false"/>
          <w:trHeight w:val="400" w:hRule="atLeast"/>
        </w:trPr>
        <w:tc>
          <w:tcPr>
            <w:tcW w:type="dxa" w:w="2270"/>
            <w:tcMar>
              <w:top w:type="dxa" w:w="60"/>
              <w:left w:type="dxa" w:w="100"/>
              <w:bottom w:type="dxa" w:w="60"/>
              <w:right w:type="dxa" w:w="100"/>
            </w:tcMar>
            <w:vAlign w:val="top"/>
          </w:tcPr>
          <w:p>
            <w:pPr>
              <w:spacing w:after="0" w:before="0" w:line="252"/>
            </w:pPr>
          </w:p>
        </w:tc>
        <w:tc>
          <w:tcPr>
            <w:tcW w:type="dxa" w:w="2294"/>
            <w:tcMar>
              <w:top w:type="dxa" w:w="60"/>
              <w:left w:type="dxa" w:w="100"/>
              <w:bottom w:type="dxa" w:w="60"/>
              <w:right w:type="dxa" w:w="100"/>
            </w:tcMar>
            <w:vAlign w:val="top"/>
          </w:tcPr>
          <w:p>
            <w:pPr>
              <w:spacing w:after="0" w:before="0" w:line="252"/>
            </w:pPr>
          </w:p>
        </w:tc>
        <w:tc>
          <w:tcPr>
            <w:tcW w:type="dxa" w:w="2393"/>
            <w:tcMar>
              <w:top w:type="dxa" w:w="60"/>
              <w:left w:type="dxa" w:w="100"/>
              <w:bottom w:type="dxa" w:w="60"/>
              <w:right w:type="dxa" w:w="100"/>
            </w:tcMar>
            <w:vAlign w:val="top"/>
          </w:tcPr>
          <w:p>
            <w:pPr>
              <w:spacing w:after="0" w:before="0" w:line="252"/>
            </w:pPr>
          </w:p>
        </w:tc>
        <w:tc>
          <w:tcPr>
            <w:tcW w:type="dxa" w:w="2403"/>
            <w:tcMar>
              <w:top w:type="dxa" w:w="60"/>
              <w:left w:type="dxa" w:w="100"/>
              <w:bottom w:type="dxa" w:w="60"/>
              <w:right w:type="dxa" w:w="100"/>
            </w:tcMar>
            <w:vAlign w:val="top"/>
          </w:tcPr>
          <w:p>
            <w:pPr>
              <w:spacing w:after="0" w:before="0" w:line="252"/>
            </w:pPr>
          </w:p>
        </w:tc>
      </w:tr>
      <w:tr>
        <w:trPr>
          <w:cantSplit/>
          <w:tblHeader w:val="false"/>
          <w:trHeight w:val="400" w:hRule="atLeast"/>
        </w:trPr>
        <w:tc>
          <w:tcPr>
            <w:tcW w:type="dxa" w:w="2270"/>
            <w:tcMar>
              <w:top w:type="dxa" w:w="60"/>
              <w:left w:type="dxa" w:w="100"/>
              <w:bottom w:type="dxa" w:w="60"/>
              <w:right w:type="dxa" w:w="100"/>
            </w:tcMar>
            <w:vAlign w:val="top"/>
          </w:tcPr>
          <w:p>
            <w:pPr>
              <w:spacing w:after="0" w:before="0" w:line="252"/>
            </w:pPr>
          </w:p>
        </w:tc>
        <w:tc>
          <w:tcPr>
            <w:tcW w:type="dxa" w:w="2294"/>
            <w:tcMar>
              <w:top w:type="dxa" w:w="60"/>
              <w:left w:type="dxa" w:w="100"/>
              <w:bottom w:type="dxa" w:w="60"/>
              <w:right w:type="dxa" w:w="100"/>
            </w:tcMar>
            <w:vAlign w:val="top"/>
          </w:tcPr>
          <w:p>
            <w:pPr>
              <w:spacing w:after="0" w:before="0" w:line="252"/>
            </w:pPr>
          </w:p>
        </w:tc>
        <w:tc>
          <w:tcPr>
            <w:tcW w:type="dxa" w:w="2393"/>
            <w:tcMar>
              <w:top w:type="dxa" w:w="60"/>
              <w:left w:type="dxa" w:w="100"/>
              <w:bottom w:type="dxa" w:w="60"/>
              <w:right w:type="dxa" w:w="100"/>
            </w:tcMar>
            <w:vAlign w:val="top"/>
          </w:tcPr>
          <w:p>
            <w:pPr>
              <w:spacing w:after="0" w:before="0" w:line="252"/>
            </w:pPr>
          </w:p>
        </w:tc>
        <w:tc>
          <w:tcPr>
            <w:tcW w:type="dxa" w:w="2403"/>
            <w:tcMar>
              <w:top w:type="dxa" w:w="60"/>
              <w:left w:type="dxa" w:w="100"/>
              <w:bottom w:type="dxa" w:w="60"/>
              <w:right w:type="dxa" w:w="100"/>
            </w:tcMar>
            <w:vAlign w:val="top"/>
          </w:tcPr>
          <w:p>
            <w:pPr>
              <w:spacing w:after="0" w:before="0" w:line="252"/>
            </w:pPr>
          </w:p>
        </w:tc>
      </w:tr>
      <w:tr>
        <w:trPr>
          <w:cantSplit/>
          <w:tblHeader w:val="false"/>
          <w:trHeight w:val="400" w:hRule="atLeast"/>
        </w:trPr>
        <w:tc>
          <w:tcPr>
            <w:tcW w:type="dxa" w:w="2270"/>
            <w:tcMar>
              <w:top w:type="dxa" w:w="60"/>
              <w:left w:type="dxa" w:w="100"/>
              <w:bottom w:type="dxa" w:w="60"/>
              <w:right w:type="dxa" w:w="100"/>
            </w:tcMar>
            <w:vAlign w:val="top"/>
          </w:tcPr>
          <w:p>
            <w:pPr>
              <w:spacing w:after="0" w:before="0" w:line="252"/>
            </w:pPr>
          </w:p>
        </w:tc>
        <w:tc>
          <w:tcPr>
            <w:tcW w:type="dxa" w:w="2294"/>
            <w:tcMar>
              <w:top w:type="dxa" w:w="60"/>
              <w:left w:type="dxa" w:w="100"/>
              <w:bottom w:type="dxa" w:w="60"/>
              <w:right w:type="dxa" w:w="100"/>
            </w:tcMar>
            <w:vAlign w:val="top"/>
          </w:tcPr>
          <w:p>
            <w:pPr>
              <w:spacing w:after="0" w:before="0" w:line="252"/>
            </w:pPr>
          </w:p>
        </w:tc>
        <w:tc>
          <w:tcPr>
            <w:tcW w:type="dxa" w:w="2393"/>
            <w:tcMar>
              <w:top w:type="dxa" w:w="60"/>
              <w:left w:type="dxa" w:w="100"/>
              <w:bottom w:type="dxa" w:w="60"/>
              <w:right w:type="dxa" w:w="100"/>
            </w:tcMar>
            <w:vAlign w:val="top"/>
          </w:tcPr>
          <w:p>
            <w:pPr>
              <w:spacing w:after="0" w:before="0" w:line="252"/>
            </w:pPr>
          </w:p>
        </w:tc>
        <w:tc>
          <w:tcPr>
            <w:tcW w:type="dxa" w:w="2403"/>
            <w:tcMar>
              <w:top w:type="dxa" w:w="60"/>
              <w:left w:type="dxa" w:w="100"/>
              <w:bottom w:type="dxa" w:w="60"/>
              <w:right w:type="dxa" w:w="100"/>
            </w:tcMar>
            <w:vAlign w:val="top"/>
          </w:tcPr>
          <w:p>
            <w:pPr>
              <w:spacing w:after="0" w:before="0" w:line="252"/>
            </w:pPr>
          </w:p>
        </w:tc>
      </w:tr>
      <w:tr>
        <w:trPr>
          <w:cantSplit/>
          <w:tblHeader w:val="false"/>
          <w:trHeight w:val="400" w:hRule="atLeast"/>
        </w:trPr>
        <w:tc>
          <w:tcPr>
            <w:tcW w:type="dxa" w:w="2270"/>
            <w:tcMar>
              <w:top w:type="dxa" w:w="60"/>
              <w:left w:type="dxa" w:w="100"/>
              <w:bottom w:type="dxa" w:w="60"/>
              <w:right w:type="dxa" w:w="100"/>
            </w:tcMar>
            <w:vAlign w:val="top"/>
          </w:tcPr>
          <w:p>
            <w:pPr>
              <w:spacing w:after="0" w:before="0" w:line="252"/>
            </w:pPr>
          </w:p>
        </w:tc>
        <w:tc>
          <w:tcPr>
            <w:tcW w:type="dxa" w:w="2294"/>
            <w:tcMar>
              <w:top w:type="dxa" w:w="60"/>
              <w:left w:type="dxa" w:w="100"/>
              <w:bottom w:type="dxa" w:w="60"/>
              <w:right w:type="dxa" w:w="100"/>
            </w:tcMar>
            <w:vAlign w:val="top"/>
          </w:tcPr>
          <w:p>
            <w:pPr>
              <w:spacing w:after="0" w:before="0" w:line="252"/>
            </w:pPr>
          </w:p>
        </w:tc>
        <w:tc>
          <w:tcPr>
            <w:tcW w:type="dxa" w:w="2393"/>
            <w:tcMar>
              <w:top w:type="dxa" w:w="60"/>
              <w:left w:type="dxa" w:w="100"/>
              <w:bottom w:type="dxa" w:w="60"/>
              <w:right w:type="dxa" w:w="100"/>
            </w:tcMar>
            <w:vAlign w:val="top"/>
          </w:tcPr>
          <w:p>
            <w:pPr>
              <w:spacing w:after="0" w:before="0" w:line="252"/>
            </w:pPr>
          </w:p>
        </w:tc>
        <w:tc>
          <w:tcPr>
            <w:tcW w:type="dxa" w:w="2403"/>
            <w:tcMar>
              <w:top w:type="dxa" w:w="60"/>
              <w:left w:type="dxa" w:w="100"/>
              <w:bottom w:type="dxa" w:w="60"/>
              <w:right w:type="dxa" w:w="100"/>
            </w:tcMar>
            <w:vAlign w:val="top"/>
          </w:tcPr>
          <w:p>
            <w:pPr>
              <w:spacing w:after="0" w:before="0" w:line="252"/>
            </w:pPr>
          </w:p>
        </w:tc>
      </w:tr>
      <w:tr>
        <w:trPr>
          <w:cantSplit/>
          <w:tblHeader w:val="false"/>
          <w:trHeight w:val="400" w:hRule="atLeast"/>
        </w:trPr>
        <w:tc>
          <w:tcPr>
            <w:tcW w:type="dxa" w:w="2270"/>
            <w:tcMar>
              <w:top w:type="dxa" w:w="60"/>
              <w:left w:type="dxa" w:w="100"/>
              <w:bottom w:type="dxa" w:w="60"/>
              <w:right w:type="dxa" w:w="100"/>
            </w:tcMar>
            <w:vAlign w:val="top"/>
          </w:tcPr>
          <w:p>
            <w:pPr>
              <w:spacing w:after="0" w:before="0" w:line="252"/>
            </w:pPr>
          </w:p>
        </w:tc>
        <w:tc>
          <w:tcPr>
            <w:tcW w:type="dxa" w:w="2294"/>
            <w:tcMar>
              <w:top w:type="dxa" w:w="60"/>
              <w:left w:type="dxa" w:w="100"/>
              <w:bottom w:type="dxa" w:w="60"/>
              <w:right w:type="dxa" w:w="100"/>
            </w:tcMar>
            <w:vAlign w:val="top"/>
          </w:tcPr>
          <w:p>
            <w:pPr>
              <w:spacing w:after="0" w:before="0" w:line="252"/>
            </w:pPr>
          </w:p>
        </w:tc>
        <w:tc>
          <w:tcPr>
            <w:tcW w:type="dxa" w:w="2393"/>
            <w:tcMar>
              <w:top w:type="dxa" w:w="60"/>
              <w:left w:type="dxa" w:w="100"/>
              <w:bottom w:type="dxa" w:w="60"/>
              <w:right w:type="dxa" w:w="100"/>
            </w:tcMar>
            <w:vAlign w:val="top"/>
          </w:tcPr>
          <w:p>
            <w:pPr>
              <w:spacing w:after="0" w:before="0" w:line="252"/>
            </w:pPr>
          </w:p>
        </w:tc>
        <w:tc>
          <w:tcPr>
            <w:tcW w:type="dxa" w:w="2403"/>
            <w:tcMar>
              <w:top w:type="dxa" w:w="60"/>
              <w:left w:type="dxa" w:w="100"/>
              <w:bottom w:type="dxa" w:w="60"/>
              <w:right w:type="dxa" w:w="100"/>
            </w:tcMar>
            <w:vAlign w:val="top"/>
          </w:tcPr>
          <w:p>
            <w:pPr>
              <w:spacing w:after="0" w:before="0" w:line="252"/>
            </w:pPr>
          </w:p>
        </w:tc>
      </w:tr>
      <w:tr>
        <w:trPr>
          <w:cantSplit/>
          <w:tblHeader w:val="false"/>
          <w:trHeight w:val="400" w:hRule="atLeast"/>
        </w:trPr>
        <w:tc>
          <w:tcPr>
            <w:tcW w:type="dxa" w:w="2270"/>
            <w:tcMar>
              <w:top w:type="dxa" w:w="60"/>
              <w:left w:type="dxa" w:w="100"/>
              <w:bottom w:type="dxa" w:w="60"/>
              <w:right w:type="dxa" w:w="100"/>
            </w:tcMar>
            <w:vAlign w:val="top"/>
          </w:tcPr>
          <w:p>
            <w:pPr>
              <w:spacing w:after="0" w:before="0" w:line="252"/>
            </w:pPr>
          </w:p>
        </w:tc>
        <w:tc>
          <w:tcPr>
            <w:tcW w:type="dxa" w:w="2294"/>
            <w:tcMar>
              <w:top w:type="dxa" w:w="60"/>
              <w:left w:type="dxa" w:w="100"/>
              <w:bottom w:type="dxa" w:w="60"/>
              <w:right w:type="dxa" w:w="100"/>
            </w:tcMar>
            <w:vAlign w:val="top"/>
          </w:tcPr>
          <w:p>
            <w:pPr>
              <w:spacing w:after="0" w:before="0" w:line="252"/>
            </w:pPr>
          </w:p>
        </w:tc>
        <w:tc>
          <w:tcPr>
            <w:tcW w:type="dxa" w:w="2393"/>
            <w:tcMar>
              <w:top w:type="dxa" w:w="60"/>
              <w:left w:type="dxa" w:w="100"/>
              <w:bottom w:type="dxa" w:w="60"/>
              <w:right w:type="dxa" w:w="100"/>
            </w:tcMar>
            <w:vAlign w:val="top"/>
          </w:tcPr>
          <w:p>
            <w:pPr>
              <w:spacing w:after="0" w:before="0" w:line="252"/>
            </w:pPr>
          </w:p>
        </w:tc>
        <w:tc>
          <w:tcPr>
            <w:tcW w:type="dxa" w:w="2403"/>
            <w:tcMar>
              <w:top w:type="dxa" w:w="60"/>
              <w:left w:type="dxa" w:w="100"/>
              <w:bottom w:type="dxa" w:w="60"/>
              <w:right w:type="dxa" w:w="100"/>
            </w:tcMar>
            <w:vAlign w:val="top"/>
          </w:tcPr>
          <w:p>
            <w:pPr>
              <w:spacing w:after="0" w:before="0" w:line="252"/>
            </w:pPr>
          </w:p>
        </w:tc>
      </w:tr>
    </w:tbl>
    <w:p>
      <w:pPr>
        <w:spacing w:after="120"/>
      </w:pPr>
    </w:p>
    <w:p>
      <w:pPr>
        <w:pStyle w:val="Heading2"/>
        <w:keepNext/>
        <w:pageBreakBefore/>
      </w:pPr>
      <w:bookmarkStart w:name="p1_T9" w:id="11"/>
      <w:r>
        <w:rPr>
          <w:rFonts w:ascii="Calibri" w:cs="Calibri" w:eastAsia="Calibri" w:hAnsi="Calibri"/>
        </w:rPr>
        <w:t xml:space="preserve">T9. How the components work together</w:t>
      </w:r>
      <w:bookmarkEnd w:id="11"/>
    </w:p>
    <w:tbl>
      <w:tblPr>
        <w:tblW w:type="dxa" w:w="9360"/>
        <w:tblBorders>
          <w:top w:val="single" w:color="B6D4EA" w:sz="4"/>
          <w:left w:val="single" w:color="B6D4EA" w:sz="4"/>
          <w:bottom w:val="single" w:color="B6D4EA" w:sz="4"/>
          <w:right w:val="single" w:color="B6D4EA" w:sz="4"/>
          <w:insideH w:val="single" w:color="B6D4EA" w:sz="4"/>
          <w:insideV w:val="single" w:color="B6D4EA" w:sz="4"/>
        </w:tblBorders>
        <w:tblLayout w:type="fixed"/>
      </w:tblPr>
      <w:tblGrid>
        <w:gridCol w:w="9360"/>
      </w:tblGrid>
      <w:tr>
        <w:trPr>
          <w:cantSplit/>
        </w:trPr>
        <w:tc>
          <w:tcPr>
            <w:tcW w:type="dxa" w:w="9360"/>
            <w:shd w:fill="EEF6FC" w:color="auto" w:val="clear"/>
            <w:tcMar>
              <w:top w:type="dxa" w:w="140"/>
              <w:left w:type="dxa" w:w="200"/>
              <w:bottom w:type="dxa" w:w="140"/>
              <w:right w:type="dxa" w:w="200"/>
            </w:tcMar>
          </w:tcPr>
          <w:p>
            <w:pPr>
              <w:spacing w:after="100"/>
            </w:pPr>
            <w:r>
              <w:rPr>
                <w:rFonts w:ascii="Calibri" w:cs="Calibri" w:eastAsia="Calibri" w:hAnsi="Calibri"/>
                <w:b/>
                <w:bCs/>
                <w:color w:val="0369A1"/>
                <w:sz w:val="22"/>
                <w:szCs w:val="22"/>
              </w:rPr>
              <w:t xml:space="preserve">How to use T9</w:t>
            </w:r>
          </w:p>
          <w:p>
            <w:pPr>
              <w:spacing w:after="80"/>
            </w:pPr>
            <w:r>
              <w:rPr>
                <w:rFonts w:ascii="Calibri" w:cs="Calibri" w:eastAsia="Calibri" w:hAnsi="Calibri"/>
                <w:b/>
                <w:bCs/>
                <w:sz w:val="20"/>
                <w:szCs w:val="20"/>
              </w:rPr>
              <w:t xml:space="preserve">Purpose.</w:t>
            </w:r>
            <w:r>
              <w:rPr>
                <w:rFonts w:ascii="Calibri" w:cs="Calibri" w:eastAsia="Calibri" w:hAnsi="Calibri"/>
                <w:sz w:val="20"/>
                <w:szCs w:val="20"/>
              </w:rPr>
              <w:t xml:space="preserve">  Trace the day in the life through the architecture: which components act, over which protocol, under which controls.</w:t>
            </w:r>
          </w:p>
          <w:p>
            <w:pPr>
              <w:spacing w:after="80"/>
            </w:pPr>
            <w:r>
              <w:rPr>
                <w:rFonts w:ascii="Calibri" w:cs="Calibri" w:eastAsia="Calibri" w:hAnsi="Calibri"/>
                <w:b/>
                <w:bCs/>
                <w:sz w:val="20"/>
                <w:szCs w:val="20"/>
              </w:rPr>
              <w:t xml:space="preserve">When.</w:t>
            </w:r>
            <w:r>
              <w:rPr>
                <w:rFonts w:ascii="Calibri" w:cs="Calibri" w:eastAsia="Calibri" w:hAnsi="Calibri"/>
                <w:sz w:val="20"/>
                <w:szCs w:val="20"/>
              </w:rPr>
              <w:t xml:space="preserve">  Step 4 (design).</w:t>
            </w:r>
          </w:p>
          <w:p>
            <w:pPr>
              <w:spacing w:after="80"/>
            </w:pPr>
            <w:r>
              <w:rPr>
                <w:rFonts w:ascii="Calibri" w:cs="Calibri" w:eastAsia="Calibri" w:hAnsi="Calibri"/>
                <w:b/>
                <w:bCs/>
                <w:sz w:val="20"/>
                <w:szCs w:val="20"/>
              </w:rPr>
              <w:t xml:space="preserve">Who.</w:t>
            </w:r>
            <w:r>
              <w:rPr>
                <w:rFonts w:ascii="Calibri" w:cs="Calibri" w:eastAsia="Calibri" w:hAnsi="Calibri"/>
                <w:sz w:val="20"/>
                <w:szCs w:val="20"/>
              </w:rPr>
              <w:t xml:space="preserve">  The lead architect.</w:t>
            </w:r>
          </w:p>
          <w:p>
            <w:pPr>
              <w:spacing w:after="60" w:before="120"/>
            </w:pPr>
            <w:r>
              <w:rPr>
                <w:rFonts w:ascii="Calibri" w:cs="Calibri" w:eastAsia="Calibri" w:hAnsi="Calibri"/>
                <w:b/>
                <w:bCs/>
                <w:color w:val="1E293B"/>
                <w:sz w:val="20"/>
                <w:szCs w:val="20"/>
              </w:rPr>
              <w:t xml:space="preserve">How to fill it</w:t>
            </w:r>
          </w:p>
          <w:p>
            <w:pPr>
              <w:pStyle w:val="ListParagraph"/>
              <w:numPr>
                <w:ilvl w:val="0"/>
                <w:numId w:val="16"/>
              </w:numPr>
              <w:spacing w:after="60"/>
            </w:pPr>
            <w:r>
              <w:rPr>
                <w:rFonts w:ascii="Calibri" w:cs="Calibri" w:eastAsia="Calibri" w:hAnsi="Calibri"/>
                <w:sz w:val="20"/>
                <w:szCs w:val="20"/>
              </w:rPr>
              <w:t xml:space="preserve">Use the same moments as T8.</w:t>
            </w:r>
          </w:p>
          <w:p>
            <w:pPr>
              <w:pStyle w:val="ListParagraph"/>
              <w:numPr>
                <w:ilvl w:val="0"/>
                <w:numId w:val="16"/>
              </w:numPr>
              <w:spacing w:after="60"/>
            </w:pPr>
            <w:r>
              <w:rPr>
                <w:rFonts w:ascii="Calibri" w:cs="Calibri" w:eastAsia="Calibri" w:hAnsi="Calibri"/>
                <w:sz w:val="20"/>
                <w:szCs w:val="20"/>
              </w:rPr>
              <w:t xml:space="preserve">For each, name the components and protocols (A2A between agents, MCP from agents to tools, APIs to systems of record).</w:t>
            </w:r>
          </w:p>
          <w:p>
            <w:pPr>
              <w:pStyle w:val="ListParagraph"/>
              <w:numPr>
                <w:ilvl w:val="0"/>
                <w:numId w:val="16"/>
              </w:numPr>
              <w:spacing w:after="60"/>
            </w:pPr>
            <w:r>
              <w:rPr>
                <w:rFonts w:ascii="Calibri" w:cs="Calibri" w:eastAsia="Calibri" w:hAnsi="Calibri"/>
                <w:sz w:val="20"/>
                <w:szCs w:val="20"/>
              </w:rPr>
              <w:t xml:space="preserve">Name the controls that apply, including every policy check before a write.</w:t>
            </w:r>
          </w:p>
          <w:p>
            <w:pPr>
              <w:pStyle w:val="ListParagraph"/>
              <w:numPr>
                <w:ilvl w:val="0"/>
                <w:numId w:val="16"/>
              </w:numPr>
              <w:spacing w:after="60"/>
            </w:pPr>
            <w:r>
              <w:rPr>
                <w:rFonts w:ascii="Calibri" w:cs="Calibri" w:eastAsia="Calibri" w:hAnsi="Calibri"/>
                <w:sz w:val="20"/>
                <w:szCs w:val="20"/>
              </w:rPr>
              <w:t xml:space="preserve">For every hand-off between agents, check the four delegation rules: a verifiable unit of work, a right-sized model, permissions narrowed at the hop, and escalation to a person when the request is ambiguous (</w:t>
            </w:r>
            <w:hyperlink w:history="1" r:id="rIdhq6ahuiqqb_sgnps0fs0u">
              <w:r>
                <w:rPr>
                  <w:rFonts w:ascii="Calibri" w:cs="Calibri" w:eastAsia="Calibri" w:hAnsi="Calibri"/>
                  <w:color w:val="0369A1"/>
                  <w:sz w:val="20"/>
                  <w:szCs w:val="20"/>
                  <w:u w:val="single"/>
                </w:rPr>
                <w:t xml:space="preserve">Section 4</w:t>
              </w:r>
            </w:hyperlink>
            <w:r>
              <w:rPr>
                <w:rFonts w:ascii="Calibri" w:cs="Calibri" w:eastAsia="Calibri" w:hAnsi="Calibri"/>
                <w:sz w:val="20"/>
                <w:szCs w:val="20"/>
              </w:rPr>
              <w:t xml:space="preserve">).</w:t>
            </w:r>
          </w:p>
          <w:p>
            <w:pPr>
              <w:spacing w:after="80"/>
            </w:pPr>
            <w:r>
              <w:rPr>
                <w:rFonts w:ascii="Calibri" w:cs="Calibri" w:eastAsia="Calibri" w:hAnsi="Calibri"/>
                <w:b/>
                <w:bCs/>
                <w:sz w:val="20"/>
                <w:szCs w:val="20"/>
              </w:rPr>
              <w:t xml:space="preserve">Feeds.</w:t>
            </w:r>
            <w:r>
              <w:rPr>
                <w:rFonts w:ascii="Calibri" w:cs="Calibri" w:eastAsia="Calibri" w:hAnsi="Calibri"/>
                <w:sz w:val="20"/>
                <w:szCs w:val="20"/>
              </w:rPr>
              <w:t xml:space="preserve">  Client deck: Component interaction. Client report: section 8.</w:t>
            </w:r>
          </w:p>
        </w:tc>
      </w:tr>
    </w:tbl>
    <w:p>
      <w:pPr>
        <w:spacing w:after="120"/>
      </w:pPr>
    </w:p>
    <w:tbl>
      <w:tblPr>
        <w:tblW w:type="dxa" w:w="9360"/>
        <w:tblBorders>
          <w:top w:val="single" w:color="CBD5E1" w:sz="4"/>
          <w:left w:val="single" w:color="CBD5E1" w:sz="4"/>
          <w:bottom w:val="single" w:color="CBD5E1" w:sz="4"/>
          <w:right w:val="single" w:color="CBD5E1" w:sz="4"/>
          <w:insideH w:val="single" w:color="CBD5E1" w:sz="4"/>
          <w:insideV w:val="single" w:color="CBD5E1" w:sz="4"/>
        </w:tblBorders>
        <w:tblLayout w:type="fixed"/>
      </w:tblPr>
      <w:tblGrid>
        <w:gridCol w:w="2209"/>
        <w:gridCol w:w="2281"/>
        <w:gridCol w:w="2539"/>
        <w:gridCol w:w="2331"/>
      </w:tblGrid>
      <w:tr>
        <w:trPr>
          <w:cantSplit/>
          <w:tblHeader/>
        </w:trPr>
        <w:tc>
          <w:tcPr>
            <w:tcW w:type="dxa" w:w="2209"/>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Time</w:t>
            </w:r>
          </w:p>
        </w:tc>
        <w:tc>
          <w:tcPr>
            <w:tcW w:type="dxa" w:w="2281"/>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What happens</w:t>
            </w:r>
          </w:p>
        </w:tc>
        <w:tc>
          <w:tcPr>
            <w:tcW w:type="dxa" w:w="2539"/>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Components and protocols</w:t>
            </w:r>
          </w:p>
        </w:tc>
        <w:tc>
          <w:tcPr>
            <w:tcW w:type="dxa" w:w="2331"/>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Controls applied</w:t>
            </w:r>
          </w:p>
        </w:tc>
      </w:tr>
      <w:tr>
        <w:trPr>
          <w:cantSplit/>
          <w:tblHeader w:val="false"/>
        </w:trPr>
        <w:tc>
          <w:tcPr>
            <w:tcW w:type="dxa" w:w="2209"/>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[hh:mm]</w:t>
            </w:r>
          </w:p>
        </w:tc>
        <w:tc>
          <w:tcPr>
            <w:tcW w:type="dxa" w:w="2281"/>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[Moment]</w:t>
            </w:r>
          </w:p>
        </w:tc>
        <w:tc>
          <w:tcPr>
            <w:tcW w:type="dxa" w:w="2539"/>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[Components; A2A, MCP or API]</w:t>
            </w:r>
          </w:p>
        </w:tc>
        <w:tc>
          <w:tcPr>
            <w:tcW w:type="dxa" w:w="2331"/>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[Controls]</w:t>
            </w:r>
          </w:p>
        </w:tc>
      </w:tr>
      <w:tr>
        <w:trPr>
          <w:cantSplit/>
          <w:tblHeader w:val="false"/>
          <w:trHeight w:val="400" w:hRule="atLeast"/>
        </w:trPr>
        <w:tc>
          <w:tcPr>
            <w:tcW w:type="dxa" w:w="2209"/>
            <w:tcMar>
              <w:top w:type="dxa" w:w="60"/>
              <w:left w:type="dxa" w:w="100"/>
              <w:bottom w:type="dxa" w:w="60"/>
              <w:right w:type="dxa" w:w="100"/>
            </w:tcMar>
            <w:vAlign w:val="top"/>
          </w:tcPr>
          <w:p>
            <w:pPr>
              <w:spacing w:after="0" w:before="0" w:line="252"/>
            </w:pPr>
          </w:p>
        </w:tc>
        <w:tc>
          <w:tcPr>
            <w:tcW w:type="dxa" w:w="2281"/>
            <w:tcMar>
              <w:top w:type="dxa" w:w="60"/>
              <w:left w:type="dxa" w:w="100"/>
              <w:bottom w:type="dxa" w:w="60"/>
              <w:right w:type="dxa" w:w="100"/>
            </w:tcMar>
            <w:vAlign w:val="top"/>
          </w:tcPr>
          <w:p>
            <w:pPr>
              <w:spacing w:after="0" w:before="0" w:line="252"/>
            </w:pPr>
          </w:p>
        </w:tc>
        <w:tc>
          <w:tcPr>
            <w:tcW w:type="dxa" w:w="2539"/>
            <w:tcMar>
              <w:top w:type="dxa" w:w="60"/>
              <w:left w:type="dxa" w:w="100"/>
              <w:bottom w:type="dxa" w:w="60"/>
              <w:right w:type="dxa" w:w="100"/>
            </w:tcMar>
            <w:vAlign w:val="top"/>
          </w:tcPr>
          <w:p>
            <w:pPr>
              <w:spacing w:after="0" w:before="0" w:line="252"/>
            </w:pPr>
          </w:p>
        </w:tc>
        <w:tc>
          <w:tcPr>
            <w:tcW w:type="dxa" w:w="2331"/>
            <w:tcMar>
              <w:top w:type="dxa" w:w="60"/>
              <w:left w:type="dxa" w:w="100"/>
              <w:bottom w:type="dxa" w:w="60"/>
              <w:right w:type="dxa" w:w="100"/>
            </w:tcMar>
            <w:vAlign w:val="top"/>
          </w:tcPr>
          <w:p>
            <w:pPr>
              <w:spacing w:after="0" w:before="0" w:line="252"/>
            </w:pPr>
          </w:p>
        </w:tc>
      </w:tr>
      <w:tr>
        <w:trPr>
          <w:cantSplit/>
          <w:tblHeader w:val="false"/>
          <w:trHeight w:val="400" w:hRule="atLeast"/>
        </w:trPr>
        <w:tc>
          <w:tcPr>
            <w:tcW w:type="dxa" w:w="2209"/>
            <w:tcMar>
              <w:top w:type="dxa" w:w="60"/>
              <w:left w:type="dxa" w:w="100"/>
              <w:bottom w:type="dxa" w:w="60"/>
              <w:right w:type="dxa" w:w="100"/>
            </w:tcMar>
            <w:vAlign w:val="top"/>
          </w:tcPr>
          <w:p>
            <w:pPr>
              <w:spacing w:after="0" w:before="0" w:line="252"/>
            </w:pPr>
          </w:p>
        </w:tc>
        <w:tc>
          <w:tcPr>
            <w:tcW w:type="dxa" w:w="2281"/>
            <w:tcMar>
              <w:top w:type="dxa" w:w="60"/>
              <w:left w:type="dxa" w:w="100"/>
              <w:bottom w:type="dxa" w:w="60"/>
              <w:right w:type="dxa" w:w="100"/>
            </w:tcMar>
            <w:vAlign w:val="top"/>
          </w:tcPr>
          <w:p>
            <w:pPr>
              <w:spacing w:after="0" w:before="0" w:line="252"/>
            </w:pPr>
          </w:p>
        </w:tc>
        <w:tc>
          <w:tcPr>
            <w:tcW w:type="dxa" w:w="2539"/>
            <w:tcMar>
              <w:top w:type="dxa" w:w="60"/>
              <w:left w:type="dxa" w:w="100"/>
              <w:bottom w:type="dxa" w:w="60"/>
              <w:right w:type="dxa" w:w="100"/>
            </w:tcMar>
            <w:vAlign w:val="top"/>
          </w:tcPr>
          <w:p>
            <w:pPr>
              <w:spacing w:after="0" w:before="0" w:line="252"/>
            </w:pPr>
          </w:p>
        </w:tc>
        <w:tc>
          <w:tcPr>
            <w:tcW w:type="dxa" w:w="2331"/>
            <w:tcMar>
              <w:top w:type="dxa" w:w="60"/>
              <w:left w:type="dxa" w:w="100"/>
              <w:bottom w:type="dxa" w:w="60"/>
              <w:right w:type="dxa" w:w="100"/>
            </w:tcMar>
            <w:vAlign w:val="top"/>
          </w:tcPr>
          <w:p>
            <w:pPr>
              <w:spacing w:after="0" w:before="0" w:line="252"/>
            </w:pPr>
          </w:p>
        </w:tc>
      </w:tr>
      <w:tr>
        <w:trPr>
          <w:cantSplit/>
          <w:tblHeader w:val="false"/>
          <w:trHeight w:val="400" w:hRule="atLeast"/>
        </w:trPr>
        <w:tc>
          <w:tcPr>
            <w:tcW w:type="dxa" w:w="2209"/>
            <w:tcMar>
              <w:top w:type="dxa" w:w="60"/>
              <w:left w:type="dxa" w:w="100"/>
              <w:bottom w:type="dxa" w:w="60"/>
              <w:right w:type="dxa" w:w="100"/>
            </w:tcMar>
            <w:vAlign w:val="top"/>
          </w:tcPr>
          <w:p>
            <w:pPr>
              <w:spacing w:after="0" w:before="0" w:line="252"/>
            </w:pPr>
          </w:p>
        </w:tc>
        <w:tc>
          <w:tcPr>
            <w:tcW w:type="dxa" w:w="2281"/>
            <w:tcMar>
              <w:top w:type="dxa" w:w="60"/>
              <w:left w:type="dxa" w:w="100"/>
              <w:bottom w:type="dxa" w:w="60"/>
              <w:right w:type="dxa" w:w="100"/>
            </w:tcMar>
            <w:vAlign w:val="top"/>
          </w:tcPr>
          <w:p>
            <w:pPr>
              <w:spacing w:after="0" w:before="0" w:line="252"/>
            </w:pPr>
          </w:p>
        </w:tc>
        <w:tc>
          <w:tcPr>
            <w:tcW w:type="dxa" w:w="2539"/>
            <w:tcMar>
              <w:top w:type="dxa" w:w="60"/>
              <w:left w:type="dxa" w:w="100"/>
              <w:bottom w:type="dxa" w:w="60"/>
              <w:right w:type="dxa" w:w="100"/>
            </w:tcMar>
            <w:vAlign w:val="top"/>
          </w:tcPr>
          <w:p>
            <w:pPr>
              <w:spacing w:after="0" w:before="0" w:line="252"/>
            </w:pPr>
          </w:p>
        </w:tc>
        <w:tc>
          <w:tcPr>
            <w:tcW w:type="dxa" w:w="2331"/>
            <w:tcMar>
              <w:top w:type="dxa" w:w="60"/>
              <w:left w:type="dxa" w:w="100"/>
              <w:bottom w:type="dxa" w:w="60"/>
              <w:right w:type="dxa" w:w="100"/>
            </w:tcMar>
            <w:vAlign w:val="top"/>
          </w:tcPr>
          <w:p>
            <w:pPr>
              <w:spacing w:after="0" w:before="0" w:line="252"/>
            </w:pPr>
          </w:p>
        </w:tc>
      </w:tr>
      <w:tr>
        <w:trPr>
          <w:cantSplit/>
          <w:tblHeader w:val="false"/>
          <w:trHeight w:val="400" w:hRule="atLeast"/>
        </w:trPr>
        <w:tc>
          <w:tcPr>
            <w:tcW w:type="dxa" w:w="2209"/>
            <w:tcMar>
              <w:top w:type="dxa" w:w="60"/>
              <w:left w:type="dxa" w:w="100"/>
              <w:bottom w:type="dxa" w:w="60"/>
              <w:right w:type="dxa" w:w="100"/>
            </w:tcMar>
            <w:vAlign w:val="top"/>
          </w:tcPr>
          <w:p>
            <w:pPr>
              <w:spacing w:after="0" w:before="0" w:line="252"/>
            </w:pPr>
          </w:p>
        </w:tc>
        <w:tc>
          <w:tcPr>
            <w:tcW w:type="dxa" w:w="2281"/>
            <w:tcMar>
              <w:top w:type="dxa" w:w="60"/>
              <w:left w:type="dxa" w:w="100"/>
              <w:bottom w:type="dxa" w:w="60"/>
              <w:right w:type="dxa" w:w="100"/>
            </w:tcMar>
            <w:vAlign w:val="top"/>
          </w:tcPr>
          <w:p>
            <w:pPr>
              <w:spacing w:after="0" w:before="0" w:line="252"/>
            </w:pPr>
          </w:p>
        </w:tc>
        <w:tc>
          <w:tcPr>
            <w:tcW w:type="dxa" w:w="2539"/>
            <w:tcMar>
              <w:top w:type="dxa" w:w="60"/>
              <w:left w:type="dxa" w:w="100"/>
              <w:bottom w:type="dxa" w:w="60"/>
              <w:right w:type="dxa" w:w="100"/>
            </w:tcMar>
            <w:vAlign w:val="top"/>
          </w:tcPr>
          <w:p>
            <w:pPr>
              <w:spacing w:after="0" w:before="0" w:line="252"/>
            </w:pPr>
          </w:p>
        </w:tc>
        <w:tc>
          <w:tcPr>
            <w:tcW w:type="dxa" w:w="2331"/>
            <w:tcMar>
              <w:top w:type="dxa" w:w="60"/>
              <w:left w:type="dxa" w:w="100"/>
              <w:bottom w:type="dxa" w:w="60"/>
              <w:right w:type="dxa" w:w="100"/>
            </w:tcMar>
            <w:vAlign w:val="top"/>
          </w:tcPr>
          <w:p>
            <w:pPr>
              <w:spacing w:after="0" w:before="0" w:line="252"/>
            </w:pPr>
          </w:p>
        </w:tc>
      </w:tr>
      <w:tr>
        <w:trPr>
          <w:cantSplit/>
          <w:tblHeader w:val="false"/>
          <w:trHeight w:val="400" w:hRule="atLeast"/>
        </w:trPr>
        <w:tc>
          <w:tcPr>
            <w:tcW w:type="dxa" w:w="2209"/>
            <w:tcMar>
              <w:top w:type="dxa" w:w="60"/>
              <w:left w:type="dxa" w:w="100"/>
              <w:bottom w:type="dxa" w:w="60"/>
              <w:right w:type="dxa" w:w="100"/>
            </w:tcMar>
            <w:vAlign w:val="top"/>
          </w:tcPr>
          <w:p>
            <w:pPr>
              <w:spacing w:after="0" w:before="0" w:line="252"/>
            </w:pPr>
          </w:p>
        </w:tc>
        <w:tc>
          <w:tcPr>
            <w:tcW w:type="dxa" w:w="2281"/>
            <w:tcMar>
              <w:top w:type="dxa" w:w="60"/>
              <w:left w:type="dxa" w:w="100"/>
              <w:bottom w:type="dxa" w:w="60"/>
              <w:right w:type="dxa" w:w="100"/>
            </w:tcMar>
            <w:vAlign w:val="top"/>
          </w:tcPr>
          <w:p>
            <w:pPr>
              <w:spacing w:after="0" w:before="0" w:line="252"/>
            </w:pPr>
          </w:p>
        </w:tc>
        <w:tc>
          <w:tcPr>
            <w:tcW w:type="dxa" w:w="2539"/>
            <w:tcMar>
              <w:top w:type="dxa" w:w="60"/>
              <w:left w:type="dxa" w:w="100"/>
              <w:bottom w:type="dxa" w:w="60"/>
              <w:right w:type="dxa" w:w="100"/>
            </w:tcMar>
            <w:vAlign w:val="top"/>
          </w:tcPr>
          <w:p>
            <w:pPr>
              <w:spacing w:after="0" w:before="0" w:line="252"/>
            </w:pPr>
          </w:p>
        </w:tc>
        <w:tc>
          <w:tcPr>
            <w:tcW w:type="dxa" w:w="2331"/>
            <w:tcMar>
              <w:top w:type="dxa" w:w="60"/>
              <w:left w:type="dxa" w:w="100"/>
              <w:bottom w:type="dxa" w:w="60"/>
              <w:right w:type="dxa" w:w="100"/>
            </w:tcMar>
            <w:vAlign w:val="top"/>
          </w:tcPr>
          <w:p>
            <w:pPr>
              <w:spacing w:after="0" w:before="0" w:line="252"/>
            </w:pPr>
          </w:p>
        </w:tc>
      </w:tr>
      <w:tr>
        <w:trPr>
          <w:cantSplit/>
          <w:tblHeader w:val="false"/>
          <w:trHeight w:val="400" w:hRule="atLeast"/>
        </w:trPr>
        <w:tc>
          <w:tcPr>
            <w:tcW w:type="dxa" w:w="2209"/>
            <w:tcMar>
              <w:top w:type="dxa" w:w="60"/>
              <w:left w:type="dxa" w:w="100"/>
              <w:bottom w:type="dxa" w:w="60"/>
              <w:right w:type="dxa" w:w="100"/>
            </w:tcMar>
            <w:vAlign w:val="top"/>
          </w:tcPr>
          <w:p>
            <w:pPr>
              <w:spacing w:after="0" w:before="0" w:line="252"/>
            </w:pPr>
          </w:p>
        </w:tc>
        <w:tc>
          <w:tcPr>
            <w:tcW w:type="dxa" w:w="2281"/>
            <w:tcMar>
              <w:top w:type="dxa" w:w="60"/>
              <w:left w:type="dxa" w:w="100"/>
              <w:bottom w:type="dxa" w:w="60"/>
              <w:right w:type="dxa" w:w="100"/>
            </w:tcMar>
            <w:vAlign w:val="top"/>
          </w:tcPr>
          <w:p>
            <w:pPr>
              <w:spacing w:after="0" w:before="0" w:line="252"/>
            </w:pPr>
          </w:p>
        </w:tc>
        <w:tc>
          <w:tcPr>
            <w:tcW w:type="dxa" w:w="2539"/>
            <w:tcMar>
              <w:top w:type="dxa" w:w="60"/>
              <w:left w:type="dxa" w:w="100"/>
              <w:bottom w:type="dxa" w:w="60"/>
              <w:right w:type="dxa" w:w="100"/>
            </w:tcMar>
            <w:vAlign w:val="top"/>
          </w:tcPr>
          <w:p>
            <w:pPr>
              <w:spacing w:after="0" w:before="0" w:line="252"/>
            </w:pPr>
          </w:p>
        </w:tc>
        <w:tc>
          <w:tcPr>
            <w:tcW w:type="dxa" w:w="2331"/>
            <w:tcMar>
              <w:top w:type="dxa" w:w="60"/>
              <w:left w:type="dxa" w:w="100"/>
              <w:bottom w:type="dxa" w:w="60"/>
              <w:right w:type="dxa" w:w="100"/>
            </w:tcMar>
            <w:vAlign w:val="top"/>
          </w:tcPr>
          <w:p>
            <w:pPr>
              <w:spacing w:after="0" w:before="0" w:line="252"/>
            </w:pPr>
          </w:p>
        </w:tc>
      </w:tr>
      <w:tr>
        <w:trPr>
          <w:cantSplit/>
          <w:tblHeader w:val="false"/>
          <w:trHeight w:val="400" w:hRule="atLeast"/>
        </w:trPr>
        <w:tc>
          <w:tcPr>
            <w:tcW w:type="dxa" w:w="2209"/>
            <w:tcMar>
              <w:top w:type="dxa" w:w="60"/>
              <w:left w:type="dxa" w:w="100"/>
              <w:bottom w:type="dxa" w:w="60"/>
              <w:right w:type="dxa" w:w="100"/>
            </w:tcMar>
            <w:vAlign w:val="top"/>
          </w:tcPr>
          <w:p>
            <w:pPr>
              <w:spacing w:after="0" w:before="0" w:line="252"/>
            </w:pPr>
          </w:p>
        </w:tc>
        <w:tc>
          <w:tcPr>
            <w:tcW w:type="dxa" w:w="2281"/>
            <w:tcMar>
              <w:top w:type="dxa" w:w="60"/>
              <w:left w:type="dxa" w:w="100"/>
              <w:bottom w:type="dxa" w:w="60"/>
              <w:right w:type="dxa" w:w="100"/>
            </w:tcMar>
            <w:vAlign w:val="top"/>
          </w:tcPr>
          <w:p>
            <w:pPr>
              <w:spacing w:after="0" w:before="0" w:line="252"/>
            </w:pPr>
          </w:p>
        </w:tc>
        <w:tc>
          <w:tcPr>
            <w:tcW w:type="dxa" w:w="2539"/>
            <w:tcMar>
              <w:top w:type="dxa" w:w="60"/>
              <w:left w:type="dxa" w:w="100"/>
              <w:bottom w:type="dxa" w:w="60"/>
              <w:right w:type="dxa" w:w="100"/>
            </w:tcMar>
            <w:vAlign w:val="top"/>
          </w:tcPr>
          <w:p>
            <w:pPr>
              <w:spacing w:after="0" w:before="0" w:line="252"/>
            </w:pPr>
          </w:p>
        </w:tc>
        <w:tc>
          <w:tcPr>
            <w:tcW w:type="dxa" w:w="2331"/>
            <w:tcMar>
              <w:top w:type="dxa" w:w="60"/>
              <w:left w:type="dxa" w:w="100"/>
              <w:bottom w:type="dxa" w:w="60"/>
              <w:right w:type="dxa" w:w="100"/>
            </w:tcMar>
            <w:vAlign w:val="top"/>
          </w:tcPr>
          <w:p>
            <w:pPr>
              <w:spacing w:after="0" w:before="0" w:line="252"/>
            </w:pPr>
          </w:p>
        </w:tc>
      </w:tr>
    </w:tbl>
    <w:p>
      <w:pPr>
        <w:spacing w:after="120"/>
      </w:pPr>
    </w:p>
    <w:p>
      <w:pPr>
        <w:pStyle w:val="Heading3"/>
        <w:keepNext/>
      </w:pPr>
      <w:r>
        <w:rPr>
          <w:rFonts w:ascii="Calibri" w:cs="Calibri" w:eastAsia="Calibri" w:hAnsi="Calibri"/>
        </w:rPr>
        <w:t xml:space="preserve">Delegation check</w:t>
      </w:r>
    </w:p>
    <w:tbl>
      <w:tblPr>
        <w:tblW w:type="dxa" w:w="9360"/>
        <w:tblBorders>
          <w:top w:val="single" w:color="CBD5E1" w:sz="4"/>
          <w:left w:val="single" w:color="CBD5E1" w:sz="4"/>
          <w:bottom w:val="single" w:color="CBD5E1" w:sz="4"/>
          <w:right w:val="single" w:color="CBD5E1" w:sz="4"/>
          <w:insideH w:val="single" w:color="CBD5E1" w:sz="4"/>
          <w:insideV w:val="single" w:color="CBD5E1" w:sz="4"/>
        </w:tblBorders>
        <w:tblLayout w:type="fixed"/>
      </w:tblPr>
      <w:tblGrid>
        <w:gridCol w:w="1698"/>
        <w:gridCol w:w="2167"/>
        <w:gridCol w:w="1641"/>
        <w:gridCol w:w="1905"/>
        <w:gridCol w:w="1949"/>
      </w:tblGrid>
      <w:tr>
        <w:trPr>
          <w:cantSplit/>
          <w:tblHeader/>
        </w:trPr>
        <w:tc>
          <w:tcPr>
            <w:tcW w:type="dxa" w:w="1698"/>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Hand-off</w:t>
            </w:r>
          </w:p>
        </w:tc>
        <w:tc>
          <w:tcPr>
            <w:tcW w:type="dxa" w:w="2167"/>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Unit of work and its check</w:t>
            </w:r>
          </w:p>
        </w:tc>
        <w:tc>
          <w:tcPr>
            <w:tcW w:type="dxa" w:w="1641"/>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Model</w:t>
            </w:r>
          </w:p>
        </w:tc>
        <w:tc>
          <w:tcPr>
            <w:tcW w:type="dxa" w:w="1905"/>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Permissions passed on</w:t>
            </w:r>
          </w:p>
        </w:tc>
        <w:tc>
          <w:tcPr>
            <w:tcW w:type="dxa" w:w="1949"/>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When it stops and asks</w:t>
            </w:r>
          </w:p>
        </w:tc>
      </w:tr>
      <w:tr>
        <w:trPr>
          <w:cantSplit/>
          <w:tblHeader w:val="false"/>
        </w:trPr>
        <w:tc>
          <w:tcPr>
            <w:tcW w:type="dxa" w:w="1698"/>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[Agent to agent]</w:t>
            </w:r>
          </w:p>
        </w:tc>
        <w:tc>
          <w:tcPr>
            <w:tcW w:type="dxa" w:w="2167"/>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[Task; how its result is checked]</w:t>
            </w:r>
          </w:p>
        </w:tc>
        <w:tc>
          <w:tcPr>
            <w:tcW w:type="dxa" w:w="1641"/>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[Model or none]</w:t>
            </w:r>
          </w:p>
        </w:tc>
        <w:tc>
          <w:tcPr>
            <w:tcW w:type="dxa" w:w="1905"/>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[Scopes, narrowed]</w:t>
            </w:r>
          </w:p>
        </w:tc>
        <w:tc>
          <w:tcPr>
            <w:tcW w:type="dxa" w:w="1949"/>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[Condition; to whom]</w:t>
            </w:r>
          </w:p>
        </w:tc>
      </w:tr>
      <w:tr>
        <w:trPr>
          <w:cantSplit/>
          <w:tblHeader w:val="false"/>
          <w:trHeight w:val="400" w:hRule="atLeast"/>
        </w:trPr>
        <w:tc>
          <w:tcPr>
            <w:tcW w:type="dxa" w:w="1698"/>
            <w:tcMar>
              <w:top w:type="dxa" w:w="60"/>
              <w:left w:type="dxa" w:w="100"/>
              <w:bottom w:type="dxa" w:w="60"/>
              <w:right w:type="dxa" w:w="100"/>
            </w:tcMar>
            <w:vAlign w:val="top"/>
          </w:tcPr>
          <w:p>
            <w:pPr>
              <w:spacing w:after="0" w:before="0" w:line="252"/>
            </w:pPr>
          </w:p>
        </w:tc>
        <w:tc>
          <w:tcPr>
            <w:tcW w:type="dxa" w:w="2167"/>
            <w:tcMar>
              <w:top w:type="dxa" w:w="60"/>
              <w:left w:type="dxa" w:w="100"/>
              <w:bottom w:type="dxa" w:w="60"/>
              <w:right w:type="dxa" w:w="100"/>
            </w:tcMar>
            <w:vAlign w:val="top"/>
          </w:tcPr>
          <w:p>
            <w:pPr>
              <w:spacing w:after="0" w:before="0" w:line="252"/>
            </w:pPr>
          </w:p>
        </w:tc>
        <w:tc>
          <w:tcPr>
            <w:tcW w:type="dxa" w:w="1641"/>
            <w:tcMar>
              <w:top w:type="dxa" w:w="60"/>
              <w:left w:type="dxa" w:w="100"/>
              <w:bottom w:type="dxa" w:w="60"/>
              <w:right w:type="dxa" w:w="100"/>
            </w:tcMar>
            <w:vAlign w:val="top"/>
          </w:tcPr>
          <w:p>
            <w:pPr>
              <w:spacing w:after="0" w:before="0" w:line="252"/>
            </w:pPr>
          </w:p>
        </w:tc>
        <w:tc>
          <w:tcPr>
            <w:tcW w:type="dxa" w:w="1905"/>
            <w:tcMar>
              <w:top w:type="dxa" w:w="60"/>
              <w:left w:type="dxa" w:w="100"/>
              <w:bottom w:type="dxa" w:w="60"/>
              <w:right w:type="dxa" w:w="100"/>
            </w:tcMar>
            <w:vAlign w:val="top"/>
          </w:tcPr>
          <w:p>
            <w:pPr>
              <w:spacing w:after="0" w:before="0" w:line="252"/>
            </w:pPr>
          </w:p>
        </w:tc>
        <w:tc>
          <w:tcPr>
            <w:tcW w:type="dxa" w:w="1949"/>
            <w:tcMar>
              <w:top w:type="dxa" w:w="60"/>
              <w:left w:type="dxa" w:w="100"/>
              <w:bottom w:type="dxa" w:w="60"/>
              <w:right w:type="dxa" w:w="100"/>
            </w:tcMar>
            <w:vAlign w:val="top"/>
          </w:tcPr>
          <w:p>
            <w:pPr>
              <w:spacing w:after="0" w:before="0" w:line="252"/>
            </w:pPr>
          </w:p>
        </w:tc>
      </w:tr>
      <w:tr>
        <w:trPr>
          <w:cantSplit/>
          <w:tblHeader w:val="false"/>
          <w:trHeight w:val="400" w:hRule="atLeast"/>
        </w:trPr>
        <w:tc>
          <w:tcPr>
            <w:tcW w:type="dxa" w:w="1698"/>
            <w:tcMar>
              <w:top w:type="dxa" w:w="60"/>
              <w:left w:type="dxa" w:w="100"/>
              <w:bottom w:type="dxa" w:w="60"/>
              <w:right w:type="dxa" w:w="100"/>
            </w:tcMar>
            <w:vAlign w:val="top"/>
          </w:tcPr>
          <w:p>
            <w:pPr>
              <w:spacing w:after="0" w:before="0" w:line="252"/>
            </w:pPr>
          </w:p>
        </w:tc>
        <w:tc>
          <w:tcPr>
            <w:tcW w:type="dxa" w:w="2167"/>
            <w:tcMar>
              <w:top w:type="dxa" w:w="60"/>
              <w:left w:type="dxa" w:w="100"/>
              <w:bottom w:type="dxa" w:w="60"/>
              <w:right w:type="dxa" w:w="100"/>
            </w:tcMar>
            <w:vAlign w:val="top"/>
          </w:tcPr>
          <w:p>
            <w:pPr>
              <w:spacing w:after="0" w:before="0" w:line="252"/>
            </w:pPr>
          </w:p>
        </w:tc>
        <w:tc>
          <w:tcPr>
            <w:tcW w:type="dxa" w:w="1641"/>
            <w:tcMar>
              <w:top w:type="dxa" w:w="60"/>
              <w:left w:type="dxa" w:w="100"/>
              <w:bottom w:type="dxa" w:w="60"/>
              <w:right w:type="dxa" w:w="100"/>
            </w:tcMar>
            <w:vAlign w:val="top"/>
          </w:tcPr>
          <w:p>
            <w:pPr>
              <w:spacing w:after="0" w:before="0" w:line="252"/>
            </w:pPr>
          </w:p>
        </w:tc>
        <w:tc>
          <w:tcPr>
            <w:tcW w:type="dxa" w:w="1905"/>
            <w:tcMar>
              <w:top w:type="dxa" w:w="60"/>
              <w:left w:type="dxa" w:w="100"/>
              <w:bottom w:type="dxa" w:w="60"/>
              <w:right w:type="dxa" w:w="100"/>
            </w:tcMar>
            <w:vAlign w:val="top"/>
          </w:tcPr>
          <w:p>
            <w:pPr>
              <w:spacing w:after="0" w:before="0" w:line="252"/>
            </w:pPr>
          </w:p>
        </w:tc>
        <w:tc>
          <w:tcPr>
            <w:tcW w:type="dxa" w:w="1949"/>
            <w:tcMar>
              <w:top w:type="dxa" w:w="60"/>
              <w:left w:type="dxa" w:w="100"/>
              <w:bottom w:type="dxa" w:w="60"/>
              <w:right w:type="dxa" w:w="100"/>
            </w:tcMar>
            <w:vAlign w:val="top"/>
          </w:tcPr>
          <w:p>
            <w:pPr>
              <w:spacing w:after="0" w:before="0" w:line="252"/>
            </w:pPr>
          </w:p>
        </w:tc>
      </w:tr>
    </w:tbl>
    <w:p>
      <w:pPr>
        <w:spacing w:after="120"/>
      </w:pPr>
    </w:p>
    <w:p>
      <w:pPr>
        <w:pStyle w:val="Heading2"/>
        <w:keepNext/>
        <w:pageBreakBefore/>
      </w:pPr>
      <w:bookmarkStart w:name="p1_T10" w:id="12"/>
      <w:r>
        <w:rPr>
          <w:rFonts w:ascii="Calibri" w:cs="Calibri" w:eastAsia="Calibri" w:hAnsi="Calibri"/>
        </w:rPr>
        <w:t xml:space="preserve">T10. Realizing the use case with MuleSoft Agent Fabric and Informatica</w:t>
      </w:r>
      <w:bookmarkEnd w:id="12"/>
    </w:p>
    <w:tbl>
      <w:tblPr>
        <w:tblW w:type="dxa" w:w="9360"/>
        <w:tblBorders>
          <w:top w:val="single" w:color="B6D4EA" w:sz="4"/>
          <w:left w:val="single" w:color="B6D4EA" w:sz="4"/>
          <w:bottom w:val="single" w:color="B6D4EA" w:sz="4"/>
          <w:right w:val="single" w:color="B6D4EA" w:sz="4"/>
          <w:insideH w:val="single" w:color="B6D4EA" w:sz="4"/>
          <w:insideV w:val="single" w:color="B6D4EA" w:sz="4"/>
        </w:tblBorders>
        <w:tblLayout w:type="fixed"/>
      </w:tblPr>
      <w:tblGrid>
        <w:gridCol w:w="9360"/>
      </w:tblGrid>
      <w:tr>
        <w:trPr>
          <w:cantSplit/>
        </w:trPr>
        <w:tc>
          <w:tcPr>
            <w:tcW w:type="dxa" w:w="9360"/>
            <w:shd w:fill="EEF6FC" w:color="auto" w:val="clear"/>
            <w:tcMar>
              <w:top w:type="dxa" w:w="140"/>
              <w:left w:type="dxa" w:w="200"/>
              <w:bottom w:type="dxa" w:w="140"/>
              <w:right w:type="dxa" w:w="200"/>
            </w:tcMar>
          </w:tcPr>
          <w:p>
            <w:pPr>
              <w:spacing w:after="100"/>
            </w:pPr>
            <w:r>
              <w:rPr>
                <w:rFonts w:ascii="Calibri" w:cs="Calibri" w:eastAsia="Calibri" w:hAnsi="Calibri"/>
                <w:b/>
                <w:bCs/>
                <w:color w:val="0369A1"/>
                <w:sz w:val="22"/>
                <w:szCs w:val="22"/>
              </w:rPr>
              <w:t xml:space="preserve">How to use T10</w:t>
            </w:r>
          </w:p>
          <w:p>
            <w:pPr>
              <w:spacing w:after="80"/>
            </w:pPr>
            <w:r>
              <w:rPr>
                <w:rFonts w:ascii="Calibri" w:cs="Calibri" w:eastAsia="Calibri" w:hAnsi="Calibri"/>
                <w:b/>
                <w:bCs/>
                <w:sz w:val="20"/>
                <w:szCs w:val="20"/>
              </w:rPr>
              <w:t xml:space="preserve">Purpose.</w:t>
            </w:r>
            <w:r>
              <w:rPr>
                <w:rFonts w:ascii="Calibri" w:cs="Calibri" w:eastAsia="Calibri" w:hAnsi="Calibri"/>
                <w:sz w:val="20"/>
                <w:szCs w:val="20"/>
              </w:rPr>
              <w:t xml:space="preserve">  Map every reference component to the MuleSoft Agent Fabric, MuleSoft or Informatica capability that realizes it.</w:t>
            </w:r>
          </w:p>
          <w:p>
            <w:pPr>
              <w:spacing w:after="80"/>
            </w:pPr>
            <w:r>
              <w:rPr>
                <w:rFonts w:ascii="Calibri" w:cs="Calibri" w:eastAsia="Calibri" w:hAnsi="Calibri"/>
                <w:b/>
                <w:bCs/>
                <w:sz w:val="20"/>
                <w:szCs w:val="20"/>
              </w:rPr>
              <w:t xml:space="preserve">When.</w:t>
            </w:r>
            <w:r>
              <w:rPr>
                <w:rFonts w:ascii="Calibri" w:cs="Calibri" w:eastAsia="Calibri" w:hAnsi="Calibri"/>
                <w:sz w:val="20"/>
                <w:szCs w:val="20"/>
              </w:rPr>
              <w:t xml:space="preserve">  Step 4 (design), after T7.</w:t>
            </w:r>
          </w:p>
          <w:p>
            <w:pPr>
              <w:spacing w:after="80"/>
            </w:pPr>
            <w:r>
              <w:rPr>
                <w:rFonts w:ascii="Calibri" w:cs="Calibri" w:eastAsia="Calibri" w:hAnsi="Calibri"/>
                <w:b/>
                <w:bCs/>
                <w:sz w:val="20"/>
                <w:szCs w:val="20"/>
              </w:rPr>
              <w:t xml:space="preserve">Who.</w:t>
            </w:r>
            <w:r>
              <w:rPr>
                <w:rFonts w:ascii="Calibri" w:cs="Calibri" w:eastAsia="Calibri" w:hAnsi="Calibri"/>
                <w:sz w:val="20"/>
                <w:szCs w:val="20"/>
              </w:rPr>
              <w:t xml:space="preserve">  The lead architect, with MuleSoft and Informatica specialists as needed.</w:t>
            </w:r>
          </w:p>
          <w:p>
            <w:pPr>
              <w:spacing w:after="60" w:before="120"/>
            </w:pPr>
            <w:r>
              <w:rPr>
                <w:rFonts w:ascii="Calibri" w:cs="Calibri" w:eastAsia="Calibri" w:hAnsi="Calibri"/>
                <w:b/>
                <w:bCs/>
                <w:color w:val="1E293B"/>
                <w:sz w:val="20"/>
                <w:szCs w:val="20"/>
              </w:rPr>
              <w:t xml:space="preserve">How to fill it</w:t>
            </w:r>
          </w:p>
          <w:p>
            <w:pPr>
              <w:pStyle w:val="ListParagraph"/>
              <w:numPr>
                <w:ilvl w:val="0"/>
                <w:numId w:val="17"/>
              </w:numPr>
              <w:spacing w:after="60"/>
            </w:pPr>
            <w:r>
              <w:rPr>
                <w:rFonts w:ascii="Calibri" w:cs="Calibri" w:eastAsia="Calibri" w:hAnsi="Calibri"/>
                <w:sz w:val="20"/>
                <w:szCs w:val="20"/>
              </w:rPr>
              <w:t xml:space="preserve">Keep the rows the use case needs and delete the others.</w:t>
            </w:r>
          </w:p>
          <w:p>
            <w:pPr>
              <w:pStyle w:val="ListParagraph"/>
              <w:numPr>
                <w:ilvl w:val="0"/>
                <w:numId w:val="17"/>
              </w:numPr>
              <w:spacing w:after="60"/>
            </w:pPr>
            <w:r>
              <w:rPr>
                <w:rFonts w:ascii="Calibri" w:cs="Calibri" w:eastAsia="Calibri" w:hAnsi="Calibri"/>
                <w:sz w:val="20"/>
                <w:szCs w:val="20"/>
              </w:rPr>
              <w:t xml:space="preserve">Write the role each capability plays in this use case.</w:t>
            </w:r>
          </w:p>
          <w:p>
            <w:pPr>
              <w:pStyle w:val="ListParagraph"/>
              <w:numPr>
                <w:ilvl w:val="0"/>
                <w:numId w:val="17"/>
              </w:numPr>
              <w:spacing w:after="60"/>
            </w:pPr>
            <w:r>
              <w:rPr>
                <w:rFonts w:ascii="Calibri" w:cs="Calibri" w:eastAsia="Calibri" w:hAnsi="Calibri"/>
                <w:sz w:val="20"/>
                <w:szCs w:val="20"/>
              </w:rPr>
              <w:t xml:space="preserve">List what stays the client’s choice.</w:t>
            </w:r>
          </w:p>
          <w:p>
            <w:pPr>
              <w:pStyle w:val="ListParagraph"/>
              <w:numPr>
                <w:ilvl w:val="0"/>
                <w:numId w:val="17"/>
              </w:numPr>
              <w:spacing w:after="60"/>
            </w:pPr>
            <w:r>
              <w:rPr>
                <w:rFonts w:ascii="Calibri" w:cs="Calibri" w:eastAsia="Calibri" w:hAnsi="Calibri"/>
                <w:sz w:val="20"/>
                <w:szCs w:val="20"/>
              </w:rPr>
              <w:t xml:space="preserve">Agree how the control plane coexists with any native agent control planes the client runs, and which is authoritative for what.</w:t>
            </w:r>
          </w:p>
          <w:p>
            <w:pPr>
              <w:spacing w:after="60" w:before="120"/>
            </w:pPr>
            <w:r>
              <w:rPr>
                <w:rFonts w:ascii="Calibri" w:cs="Calibri" w:eastAsia="Calibri" w:hAnsi="Calibri"/>
                <w:b/>
                <w:bCs/>
                <w:color w:val="1E293B"/>
                <w:sz w:val="20"/>
                <w:szCs w:val="20"/>
              </w:rPr>
              <w:t xml:space="preserve">Tips</w:t>
            </w:r>
          </w:p>
          <w:p>
            <w:pPr>
              <w:pStyle w:val="ListParagraph"/>
              <w:numPr>
                <w:ilvl w:val="0"/>
                <w:numId w:val="18"/>
              </w:numPr>
              <w:spacing w:after="60"/>
            </w:pPr>
            <w:r>
              <w:rPr>
                <w:rFonts w:ascii="Calibri" w:cs="Calibri" w:eastAsia="Calibri" w:hAnsi="Calibri"/>
                <w:sz w:val="20"/>
                <w:szCs w:val="20"/>
              </w:rPr>
              <w:t xml:space="preserve">Custom Omni Gateway policies, built with the Policy Development Kit, are not MuleSoft products. Name who builds, tests and supports them.</w:t>
            </w:r>
          </w:p>
          <w:p>
            <w:pPr>
              <w:pStyle w:val="ListParagraph"/>
              <w:numPr>
                <w:ilvl w:val="0"/>
                <w:numId w:val="18"/>
              </w:numPr>
              <w:spacing w:after="60"/>
            </w:pPr>
            <w:r>
              <w:rPr>
                <w:rFonts w:ascii="Calibri" w:cs="Calibri" w:eastAsia="Calibri" w:hAnsi="Calibri"/>
                <w:sz w:val="20"/>
                <w:szCs w:val="20"/>
              </w:rPr>
              <w:t xml:space="preserve">Confirm MuleSoft connector coverage for each of the client’s systems, and map each data need to an Informatica MCP server or an API.</w:t>
            </w:r>
          </w:p>
          <w:p>
            <w:pPr>
              <w:pStyle w:val="ListParagraph"/>
              <w:numPr>
                <w:ilvl w:val="0"/>
                <w:numId w:val="18"/>
              </w:numPr>
              <w:spacing w:after="60"/>
            </w:pPr>
            <w:r>
              <w:rPr>
                <w:rFonts w:ascii="Calibri" w:cs="Calibri" w:eastAsia="Calibri" w:hAnsi="Calibri"/>
                <w:sz w:val="20"/>
                <w:szCs w:val="20"/>
              </w:rPr>
              <w:t xml:space="preserve">Name the evaluation tool the client will use (any evaluation tool works), and record its results in the registry.</w:t>
            </w:r>
          </w:p>
          <w:p>
            <w:pPr>
              <w:spacing w:after="80"/>
            </w:pPr>
            <w:r>
              <w:rPr>
                <w:rFonts w:ascii="Calibri" w:cs="Calibri" w:eastAsia="Calibri" w:hAnsi="Calibri"/>
                <w:b/>
                <w:bCs/>
                <w:sz w:val="20"/>
                <w:szCs w:val="20"/>
              </w:rPr>
              <w:t xml:space="preserve">Feeds.</w:t>
            </w:r>
            <w:r>
              <w:rPr>
                <w:rFonts w:ascii="Calibri" w:cs="Calibri" w:eastAsia="Calibri" w:hAnsi="Calibri"/>
                <w:sz w:val="20"/>
                <w:szCs w:val="20"/>
              </w:rPr>
              <w:t xml:space="preserve">  Client deck: Realized; Mapping to the AI control plane; Coexistence. Client report: section 9.</w:t>
            </w:r>
          </w:p>
        </w:tc>
      </w:tr>
    </w:tbl>
    <w:p>
      <w:pPr>
        <w:spacing w:after="120"/>
      </w:pPr>
    </w:p>
    <w:tbl>
      <w:tblPr>
        <w:tblW w:type="dxa" w:w="9360"/>
        <w:tblBorders>
          <w:top w:val="single" w:color="CBD5E1" w:sz="4"/>
          <w:left w:val="single" w:color="CBD5E1" w:sz="4"/>
          <w:bottom w:val="single" w:color="CBD5E1" w:sz="4"/>
          <w:right w:val="single" w:color="CBD5E1" w:sz="4"/>
          <w:insideH w:val="single" w:color="CBD5E1" w:sz="4"/>
          <w:insideV w:val="single" w:color="CBD5E1" w:sz="4"/>
        </w:tblBorders>
        <w:tblLayout w:type="fixed"/>
      </w:tblPr>
      <w:tblGrid>
        <w:gridCol w:w="1908"/>
        <w:gridCol w:w="5081"/>
        <w:gridCol w:w="2371"/>
      </w:tblGrid>
      <w:tr>
        <w:trPr>
          <w:cantSplit/>
          <w:tblHeader/>
        </w:trPr>
        <w:tc>
          <w:tcPr>
            <w:tcW w:type="dxa" w:w="1908"/>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Reference component</w:t>
            </w:r>
          </w:p>
        </w:tc>
        <w:tc>
          <w:tcPr>
            <w:tcW w:type="dxa" w:w="5081"/>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MuleSoft or Informatica capability</w:t>
            </w:r>
          </w:p>
        </w:tc>
        <w:tc>
          <w:tcPr>
            <w:tcW w:type="dxa" w:w="2371"/>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Role in this use case</w:t>
            </w:r>
          </w:p>
        </w:tc>
      </w:tr>
      <w:tr>
        <w:trPr>
          <w:cantSplit/>
          <w:tblHeader w:val="false"/>
        </w:trPr>
        <w:tc>
          <w:tcPr>
            <w:tcW w:type="dxa" w:w="1908"/>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Registry</w:t>
            </w:r>
          </w:p>
        </w:tc>
        <w:tc>
          <w:tcPr>
            <w:tcW w:type="dxa" w:w="5081"/>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Agent Registry and Agent Scanners (MuleSoft Agent Fabric)</w:t>
            </w:r>
          </w:p>
        </w:tc>
        <w:tc>
          <w:tcPr>
            <w:tcW w:type="dxa" w:w="2371"/>
            <w:tcMar>
              <w:top w:type="dxa" w:w="60"/>
              <w:left w:type="dxa" w:w="100"/>
              <w:bottom w:type="dxa" w:w="60"/>
              <w:right w:type="dxa" w:w="100"/>
            </w:tcMar>
            <w:vAlign w:val="top"/>
          </w:tcPr>
          <w:p>
            <w:pPr>
              <w:spacing w:after="0" w:before="0" w:line="252"/>
            </w:pPr>
          </w:p>
        </w:tc>
      </w:tr>
      <w:tr>
        <w:trPr>
          <w:cantSplit/>
          <w:tblHeader w:val="false"/>
        </w:trPr>
        <w:tc>
          <w:tcPr>
            <w:tcW w:type="dxa" w:w="1908"/>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Orchestration</w:t>
            </w:r>
          </w:p>
        </w:tc>
        <w:tc>
          <w:tcPr>
            <w:tcW w:type="dxa" w:w="5081"/>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Agent Broker with guided determinism (MuleSoft Agent Fabric)</w:t>
            </w:r>
          </w:p>
        </w:tc>
        <w:tc>
          <w:tcPr>
            <w:tcW w:type="dxa" w:w="2371"/>
            <w:tcMar>
              <w:top w:type="dxa" w:w="60"/>
              <w:left w:type="dxa" w:w="100"/>
              <w:bottom w:type="dxa" w:w="60"/>
              <w:right w:type="dxa" w:w="100"/>
            </w:tcMar>
            <w:vAlign w:val="top"/>
          </w:tcPr>
          <w:p>
            <w:pPr>
              <w:spacing w:after="0" w:before="0" w:line="252"/>
            </w:pPr>
          </w:p>
        </w:tc>
      </w:tr>
      <w:tr>
        <w:trPr>
          <w:cantSplit/>
          <w:tblHeader w:val="false"/>
        </w:trPr>
        <w:tc>
          <w:tcPr>
            <w:tcW w:type="dxa" w:w="1908"/>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AI gateway</w:t>
            </w:r>
          </w:p>
        </w:tc>
        <w:tc>
          <w:tcPr>
            <w:tcW w:type="dxa" w:w="5081"/>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AI Gateway for LLM and MCP traffic, and Omni Gateway policies for APIs and A2A (MuleSoft)</w:t>
            </w:r>
          </w:p>
        </w:tc>
        <w:tc>
          <w:tcPr>
            <w:tcW w:type="dxa" w:w="2371"/>
            <w:tcMar>
              <w:top w:type="dxa" w:w="60"/>
              <w:left w:type="dxa" w:w="100"/>
              <w:bottom w:type="dxa" w:w="60"/>
              <w:right w:type="dxa" w:w="100"/>
            </w:tcMar>
            <w:vAlign w:val="top"/>
          </w:tcPr>
          <w:p>
            <w:pPr>
              <w:spacing w:after="0" w:before="0" w:line="252"/>
            </w:pPr>
          </w:p>
        </w:tc>
      </w:tr>
      <w:tr>
        <w:trPr>
          <w:cantSplit/>
          <w:tblHeader w:val="false"/>
        </w:trPr>
        <w:tc>
          <w:tcPr>
            <w:tcW w:type="dxa" w:w="1908"/>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Agent identity</w:t>
            </w:r>
          </w:p>
        </w:tc>
        <w:tc>
          <w:tcPr>
            <w:tcW w:type="dxa" w:w="5081"/>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Trusted Agent Identity with mobile approval (MuleSoft Agent Fabric)</w:t>
            </w:r>
          </w:p>
        </w:tc>
        <w:tc>
          <w:tcPr>
            <w:tcW w:type="dxa" w:w="2371"/>
            <w:tcMar>
              <w:top w:type="dxa" w:w="60"/>
              <w:left w:type="dxa" w:w="100"/>
              <w:bottom w:type="dxa" w:w="60"/>
              <w:right w:type="dxa" w:w="100"/>
            </w:tcMar>
            <w:vAlign w:val="top"/>
          </w:tcPr>
          <w:p>
            <w:pPr>
              <w:spacing w:after="0" w:before="0" w:line="252"/>
            </w:pPr>
          </w:p>
        </w:tc>
      </w:tr>
      <w:tr>
        <w:trPr>
          <w:cantSplit/>
          <w:tblHeader w:val="false"/>
        </w:trPr>
        <w:tc>
          <w:tcPr>
            <w:tcW w:type="dxa" w:w="1908"/>
            <w:tcMar>
              <w:top w:type="dxa" w:w="60"/>
              <w:left w:type="dxa" w:w="100"/>
              <w:bottom w:type="dxa" w:w="60"/>
              <w:right w:type="dxa" w:w="100"/>
            </w:tcMar>
            <w:vAlign w:val="top"/>
          </w:tcPr>
          <w:p>
            <w:pPr>
              <w:spacing w:after="80" w:before="0" w:line="252"/>
            </w:pPr>
            <w:r>
              <w:rPr>
                <w:rFonts w:ascii="Calibri" w:cs="Calibri" w:eastAsia="Calibri" w:hAnsi="Calibri"/>
                <w:b/>
                <w:bCs/>
                <w:sz w:val="18"/>
                <w:szCs w:val="18"/>
              </w:rPr>
              <w:t xml:space="preserve">Approvals bound to execution</w:t>
            </w:r>
          </w:p>
          <w:p>
            <w:pPr>
              <w:spacing w:after="0" w:before="0" w:line="252"/>
            </w:pPr>
            <w:r>
              <w:rPr>
                <w:rFonts w:ascii="Calibri" w:cs="Calibri" w:eastAsia="Calibri" w:hAnsi="Calibri"/>
                <w:b/>
                <w:bCs/>
                <w:sz w:val="18"/>
                <w:szCs w:val="18"/>
              </w:rPr>
              <w:t xml:space="preserve">Exposure limits</w:t>
            </w:r>
          </w:p>
        </w:tc>
        <w:tc>
          <w:tcPr>
            <w:tcW w:type="dxa" w:w="5081"/>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Custom Omni Gateway policies built with the Policy Development Kit (Approval-to-Execution Binding and Cross-Session Aggregate-Risk Gate)</w:t>
            </w:r>
          </w:p>
        </w:tc>
        <w:tc>
          <w:tcPr>
            <w:tcW w:type="dxa" w:w="2371"/>
            <w:tcMar>
              <w:top w:type="dxa" w:w="60"/>
              <w:left w:type="dxa" w:w="100"/>
              <w:bottom w:type="dxa" w:w="60"/>
              <w:right w:type="dxa" w:w="100"/>
            </w:tcMar>
            <w:vAlign w:val="top"/>
          </w:tcPr>
          <w:p>
            <w:pPr>
              <w:spacing w:after="0" w:before="0" w:line="252"/>
            </w:pPr>
          </w:p>
        </w:tc>
      </w:tr>
      <w:tr>
        <w:trPr>
          <w:cantSplit/>
          <w:tblHeader w:val="false"/>
        </w:trPr>
        <w:tc>
          <w:tcPr>
            <w:tcW w:type="dxa" w:w="1908"/>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Operate and control</w:t>
            </w:r>
          </w:p>
        </w:tc>
        <w:tc>
          <w:tcPr>
            <w:tcW w:type="dxa" w:w="5081"/>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Agent Kill Switch, Agent Visualizer and AI cost controls for token-based rate limits and spend attribution (MuleSoft Agent Fabric)</w:t>
            </w:r>
          </w:p>
        </w:tc>
        <w:tc>
          <w:tcPr>
            <w:tcW w:type="dxa" w:w="2371"/>
            <w:tcMar>
              <w:top w:type="dxa" w:w="60"/>
              <w:left w:type="dxa" w:w="100"/>
              <w:bottom w:type="dxa" w:w="60"/>
              <w:right w:type="dxa" w:w="100"/>
            </w:tcMar>
            <w:vAlign w:val="top"/>
          </w:tcPr>
          <w:p>
            <w:pPr>
              <w:spacing w:after="0" w:before="0" w:line="252"/>
            </w:pPr>
          </w:p>
        </w:tc>
      </w:tr>
      <w:tr>
        <w:trPr>
          <w:cantSplit/>
          <w:tblHeader w:val="false"/>
        </w:trPr>
        <w:tc>
          <w:tcPr>
            <w:tcW w:type="dxa" w:w="1908"/>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MCP servers and APIs</w:t>
            </w:r>
          </w:p>
        </w:tc>
        <w:tc>
          <w:tcPr>
            <w:tcW w:type="dxa" w:w="5081"/>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MCP Bridge</w:t>
            </w:r>
          </w:p>
          <w:p>
            <w:pPr>
              <w:spacing w:after="0" w:before="0" w:line="252"/>
            </w:pPr>
            <w:r>
              <w:rPr>
                <w:rFonts w:ascii="Calibri" w:cs="Calibri" w:eastAsia="Calibri" w:hAnsi="Calibri"/>
                <w:sz w:val="18"/>
                <w:szCs w:val="18"/>
              </w:rPr>
              <w:t xml:space="preserve">System and Process APIs with MuleSoft connectors</w:t>
            </w:r>
          </w:p>
        </w:tc>
        <w:tc>
          <w:tcPr>
            <w:tcW w:type="dxa" w:w="2371"/>
            <w:tcMar>
              <w:top w:type="dxa" w:w="60"/>
              <w:left w:type="dxa" w:w="100"/>
              <w:bottom w:type="dxa" w:w="60"/>
              <w:right w:type="dxa" w:w="100"/>
            </w:tcMar>
            <w:vAlign w:val="top"/>
          </w:tcPr>
          <w:p>
            <w:pPr>
              <w:spacing w:after="0" w:before="0" w:line="252"/>
            </w:pPr>
          </w:p>
        </w:tc>
      </w:tr>
      <w:tr>
        <w:trPr>
          <w:cantSplit/>
          <w:tblHeader w:val="false"/>
        </w:trPr>
        <w:tc>
          <w:tcPr>
            <w:tcW w:type="dxa" w:w="1908"/>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Master data</w:t>
            </w:r>
          </w:p>
        </w:tc>
        <w:tc>
          <w:tcPr>
            <w:tcW w:type="dxa" w:w="5081"/>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Multidomain MDM (Informatica)</w:t>
            </w:r>
          </w:p>
        </w:tc>
        <w:tc>
          <w:tcPr>
            <w:tcW w:type="dxa" w:w="2371"/>
            <w:tcMar>
              <w:top w:type="dxa" w:w="60"/>
              <w:left w:type="dxa" w:w="100"/>
              <w:bottom w:type="dxa" w:w="60"/>
              <w:right w:type="dxa" w:w="100"/>
            </w:tcMar>
            <w:vAlign w:val="top"/>
          </w:tcPr>
          <w:p>
            <w:pPr>
              <w:spacing w:after="0" w:before="0" w:line="252"/>
            </w:pPr>
          </w:p>
        </w:tc>
      </w:tr>
      <w:tr>
        <w:trPr>
          <w:cantSplit/>
          <w:tblHeader w:val="false"/>
        </w:trPr>
        <w:tc>
          <w:tcPr>
            <w:tcW w:type="dxa" w:w="1908"/>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Semantics, catalog, lineage</w:t>
            </w:r>
          </w:p>
        </w:tc>
        <w:tc>
          <w:tcPr>
            <w:tcW w:type="dxa" w:w="5081"/>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Data Governance and Catalog, with the CDGC Metadata Search MCP server (Informatica)</w:t>
            </w:r>
          </w:p>
        </w:tc>
        <w:tc>
          <w:tcPr>
            <w:tcW w:type="dxa" w:w="2371"/>
            <w:tcMar>
              <w:top w:type="dxa" w:w="60"/>
              <w:left w:type="dxa" w:w="100"/>
              <w:bottom w:type="dxa" w:w="60"/>
              <w:right w:type="dxa" w:w="100"/>
            </w:tcMar>
            <w:vAlign w:val="top"/>
          </w:tcPr>
          <w:p>
            <w:pPr>
              <w:spacing w:after="0" w:before="0" w:line="252"/>
            </w:pPr>
          </w:p>
        </w:tc>
      </w:tr>
      <w:tr>
        <w:trPr>
          <w:cantSplit/>
          <w:tblHeader w:val="false"/>
        </w:trPr>
        <w:tc>
          <w:tcPr>
            <w:tcW w:type="dxa" w:w="1908"/>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Data quality</w:t>
            </w:r>
          </w:p>
        </w:tc>
        <w:tc>
          <w:tcPr>
            <w:tcW w:type="dxa" w:w="5081"/>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Data quality rules, with the Address Verification MCP server (Informatica)</w:t>
            </w:r>
          </w:p>
        </w:tc>
        <w:tc>
          <w:tcPr>
            <w:tcW w:type="dxa" w:w="2371"/>
            <w:tcMar>
              <w:top w:type="dxa" w:w="60"/>
              <w:left w:type="dxa" w:w="100"/>
              <w:bottom w:type="dxa" w:w="60"/>
              <w:right w:type="dxa" w:w="100"/>
            </w:tcMar>
            <w:vAlign w:val="top"/>
          </w:tcPr>
          <w:p>
            <w:pPr>
              <w:spacing w:after="0" w:before="0" w:line="252"/>
            </w:pPr>
          </w:p>
        </w:tc>
      </w:tr>
      <w:tr>
        <w:trPr>
          <w:cantSplit/>
          <w:tblHeader w:val="false"/>
        </w:trPr>
        <w:tc>
          <w:tcPr>
            <w:tcW w:type="dxa" w:w="1908"/>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Deployment</w:t>
            </w:r>
          </w:p>
        </w:tc>
        <w:tc>
          <w:tcPr>
            <w:tcW w:type="dxa" w:w="5081"/>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CloudHub or customer-managed Runtime Fabric (MuleSoft)</w:t>
            </w:r>
          </w:p>
        </w:tc>
        <w:tc>
          <w:tcPr>
            <w:tcW w:type="dxa" w:w="2371"/>
            <w:tcMar>
              <w:top w:type="dxa" w:w="60"/>
              <w:left w:type="dxa" w:w="100"/>
              <w:bottom w:type="dxa" w:w="60"/>
              <w:right w:type="dxa" w:w="100"/>
            </w:tcMar>
            <w:vAlign w:val="top"/>
          </w:tcPr>
          <w:p>
            <w:pPr>
              <w:spacing w:after="0" w:before="0" w:line="252"/>
            </w:pPr>
          </w:p>
        </w:tc>
      </w:tr>
    </w:tbl>
    <w:p>
      <w:pPr>
        <w:spacing w:after="120"/>
      </w:pPr>
    </w:p>
    <w:p>
      <w:pPr>
        <w:pStyle w:val="Heading3"/>
        <w:keepNext/>
      </w:pPr>
      <w:r>
        <w:rPr>
          <w:rFonts w:ascii="Calibri" w:cs="Calibri" w:eastAsia="Calibri" w:hAnsi="Calibri"/>
        </w:rPr>
        <w:t xml:space="preserve">What stays the client’s choice</w:t>
      </w:r>
    </w:p>
    <w:tbl>
      <w:tblPr>
        <w:tblW w:type="dxa" w:w="9360"/>
        <w:tblBorders>
          <w:top w:val="single" w:color="CBD5E1" w:sz="4"/>
          <w:left w:val="single" w:color="CBD5E1" w:sz="4"/>
          <w:bottom w:val="single" w:color="CBD5E1" w:sz="4"/>
          <w:right w:val="single" w:color="CBD5E1" w:sz="4"/>
          <w:insideH w:val="single" w:color="CBD5E1" w:sz="4"/>
          <w:insideV w:val="single" w:color="CBD5E1" w:sz="4"/>
        </w:tblBorders>
        <w:tblLayout w:type="fixed"/>
      </w:tblPr>
      <w:tblGrid>
        <w:gridCol w:w="3093"/>
        <w:gridCol w:w="3199"/>
        <w:gridCol w:w="3068"/>
      </w:tblGrid>
      <w:tr>
        <w:trPr>
          <w:cantSplit/>
          <w:tblHeader/>
        </w:trPr>
        <w:tc>
          <w:tcPr>
            <w:tcW w:type="dxa" w:w="3093"/>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Component</w:t>
            </w:r>
          </w:p>
        </w:tc>
        <w:tc>
          <w:tcPr>
            <w:tcW w:type="dxa" w:w="3199"/>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Client’s choice</w:t>
            </w:r>
          </w:p>
        </w:tc>
        <w:tc>
          <w:tcPr>
            <w:tcW w:type="dxa" w:w="3068"/>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Notes</w:t>
            </w:r>
          </w:p>
        </w:tc>
      </w:tr>
      <w:tr>
        <w:trPr>
          <w:cantSplit/>
          <w:tblHeader w:val="false"/>
        </w:trPr>
        <w:tc>
          <w:tcPr>
            <w:tcW w:type="dxa" w:w="3093"/>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Channels and collaboration tools</w:t>
            </w:r>
          </w:p>
        </w:tc>
        <w:tc>
          <w:tcPr>
            <w:tcW w:type="dxa" w:w="3199"/>
            <w:tcMar>
              <w:top w:type="dxa" w:w="60"/>
              <w:left w:type="dxa" w:w="100"/>
              <w:bottom w:type="dxa" w:w="60"/>
              <w:right w:type="dxa" w:w="100"/>
            </w:tcMar>
            <w:vAlign w:val="top"/>
          </w:tcPr>
          <w:p>
            <w:pPr>
              <w:spacing w:after="0" w:before="0" w:line="252"/>
            </w:pPr>
          </w:p>
        </w:tc>
        <w:tc>
          <w:tcPr>
            <w:tcW w:type="dxa" w:w="3068"/>
            <w:tcMar>
              <w:top w:type="dxa" w:w="60"/>
              <w:left w:type="dxa" w:w="100"/>
              <w:bottom w:type="dxa" w:w="60"/>
              <w:right w:type="dxa" w:w="100"/>
            </w:tcMar>
            <w:vAlign w:val="top"/>
          </w:tcPr>
          <w:p>
            <w:pPr>
              <w:spacing w:after="0" w:before="0" w:line="252"/>
            </w:pPr>
          </w:p>
        </w:tc>
      </w:tr>
      <w:tr>
        <w:trPr>
          <w:cantSplit/>
          <w:tblHeader w:val="false"/>
        </w:trPr>
        <w:tc>
          <w:tcPr>
            <w:tcW w:type="dxa" w:w="3093"/>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Agent platforms and frameworks</w:t>
            </w:r>
          </w:p>
        </w:tc>
        <w:tc>
          <w:tcPr>
            <w:tcW w:type="dxa" w:w="3199"/>
            <w:tcMar>
              <w:top w:type="dxa" w:w="60"/>
              <w:left w:type="dxa" w:w="100"/>
              <w:bottom w:type="dxa" w:w="60"/>
              <w:right w:type="dxa" w:w="100"/>
            </w:tcMar>
            <w:vAlign w:val="top"/>
          </w:tcPr>
          <w:p>
            <w:pPr>
              <w:spacing w:after="0" w:before="0" w:line="252"/>
            </w:pPr>
          </w:p>
        </w:tc>
        <w:tc>
          <w:tcPr>
            <w:tcW w:type="dxa" w:w="3068"/>
            <w:tcMar>
              <w:top w:type="dxa" w:w="60"/>
              <w:left w:type="dxa" w:w="100"/>
              <w:bottom w:type="dxa" w:w="60"/>
              <w:right w:type="dxa" w:w="100"/>
            </w:tcMar>
            <w:vAlign w:val="top"/>
          </w:tcPr>
          <w:p>
            <w:pPr>
              <w:spacing w:after="0" w:before="0" w:line="252"/>
            </w:pPr>
          </w:p>
        </w:tc>
      </w:tr>
      <w:tr>
        <w:trPr>
          <w:cantSplit/>
          <w:tblHeader w:val="false"/>
        </w:trPr>
        <w:tc>
          <w:tcPr>
            <w:tcW w:type="dxa" w:w="3093"/>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Models and providers</w:t>
            </w:r>
          </w:p>
        </w:tc>
        <w:tc>
          <w:tcPr>
            <w:tcW w:type="dxa" w:w="3199"/>
            <w:tcMar>
              <w:top w:type="dxa" w:w="60"/>
              <w:left w:type="dxa" w:w="100"/>
              <w:bottom w:type="dxa" w:w="60"/>
              <w:right w:type="dxa" w:w="100"/>
            </w:tcMar>
            <w:vAlign w:val="top"/>
          </w:tcPr>
          <w:p>
            <w:pPr>
              <w:spacing w:after="0" w:before="0" w:line="252"/>
            </w:pPr>
          </w:p>
        </w:tc>
        <w:tc>
          <w:tcPr>
            <w:tcW w:type="dxa" w:w="3068"/>
            <w:tcMar>
              <w:top w:type="dxa" w:w="60"/>
              <w:left w:type="dxa" w:w="100"/>
              <w:bottom w:type="dxa" w:w="60"/>
              <w:right w:type="dxa" w:w="100"/>
            </w:tcMar>
            <w:vAlign w:val="top"/>
          </w:tcPr>
          <w:p>
            <w:pPr>
              <w:spacing w:after="0" w:before="0" w:line="252"/>
            </w:pPr>
          </w:p>
        </w:tc>
      </w:tr>
      <w:tr>
        <w:trPr>
          <w:cantSplit/>
          <w:tblHeader w:val="false"/>
        </w:trPr>
        <w:tc>
          <w:tcPr>
            <w:tcW w:type="dxa" w:w="3093"/>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Systems of record</w:t>
            </w:r>
          </w:p>
        </w:tc>
        <w:tc>
          <w:tcPr>
            <w:tcW w:type="dxa" w:w="3199"/>
            <w:tcMar>
              <w:top w:type="dxa" w:w="60"/>
              <w:left w:type="dxa" w:w="100"/>
              <w:bottom w:type="dxa" w:w="60"/>
              <w:right w:type="dxa" w:w="100"/>
            </w:tcMar>
            <w:vAlign w:val="top"/>
          </w:tcPr>
          <w:p>
            <w:pPr>
              <w:spacing w:after="0" w:before="0" w:line="252"/>
            </w:pPr>
          </w:p>
        </w:tc>
        <w:tc>
          <w:tcPr>
            <w:tcW w:type="dxa" w:w="3068"/>
            <w:tcMar>
              <w:top w:type="dxa" w:w="60"/>
              <w:left w:type="dxa" w:w="100"/>
              <w:bottom w:type="dxa" w:w="60"/>
              <w:right w:type="dxa" w:w="100"/>
            </w:tcMar>
            <w:vAlign w:val="top"/>
          </w:tcPr>
          <w:p>
            <w:pPr>
              <w:spacing w:after="0" w:before="0" w:line="252"/>
            </w:pPr>
          </w:p>
        </w:tc>
      </w:tr>
      <w:tr>
        <w:trPr>
          <w:cantSplit/>
          <w:tblHeader w:val="false"/>
        </w:trPr>
        <w:tc>
          <w:tcPr>
            <w:tcW w:type="dxa" w:w="3093"/>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Identity provider</w:t>
            </w:r>
          </w:p>
        </w:tc>
        <w:tc>
          <w:tcPr>
            <w:tcW w:type="dxa" w:w="3199"/>
            <w:tcMar>
              <w:top w:type="dxa" w:w="60"/>
              <w:left w:type="dxa" w:w="100"/>
              <w:bottom w:type="dxa" w:w="60"/>
              <w:right w:type="dxa" w:w="100"/>
            </w:tcMar>
            <w:vAlign w:val="top"/>
          </w:tcPr>
          <w:p>
            <w:pPr>
              <w:spacing w:after="0" w:before="0" w:line="252"/>
            </w:pPr>
          </w:p>
        </w:tc>
        <w:tc>
          <w:tcPr>
            <w:tcW w:type="dxa" w:w="3068"/>
            <w:tcMar>
              <w:top w:type="dxa" w:w="60"/>
              <w:left w:type="dxa" w:w="100"/>
              <w:bottom w:type="dxa" w:w="60"/>
              <w:right w:type="dxa" w:w="100"/>
            </w:tcMar>
            <w:vAlign w:val="top"/>
          </w:tcPr>
          <w:p>
            <w:pPr>
              <w:spacing w:after="0" w:before="0" w:line="252"/>
            </w:pPr>
          </w:p>
        </w:tc>
      </w:tr>
      <w:tr>
        <w:trPr>
          <w:cantSplit/>
          <w:tblHeader w:val="false"/>
        </w:trPr>
        <w:tc>
          <w:tcPr>
            <w:tcW w:type="dxa" w:w="3093"/>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Security operations (SIEM)</w:t>
            </w:r>
          </w:p>
        </w:tc>
        <w:tc>
          <w:tcPr>
            <w:tcW w:type="dxa" w:w="3199"/>
            <w:tcMar>
              <w:top w:type="dxa" w:w="60"/>
              <w:left w:type="dxa" w:w="100"/>
              <w:bottom w:type="dxa" w:w="60"/>
              <w:right w:type="dxa" w:w="100"/>
            </w:tcMar>
            <w:vAlign w:val="top"/>
          </w:tcPr>
          <w:p>
            <w:pPr>
              <w:spacing w:after="0" w:before="0" w:line="252"/>
            </w:pPr>
          </w:p>
        </w:tc>
        <w:tc>
          <w:tcPr>
            <w:tcW w:type="dxa" w:w="3068"/>
            <w:tcMar>
              <w:top w:type="dxa" w:w="60"/>
              <w:left w:type="dxa" w:w="100"/>
              <w:bottom w:type="dxa" w:w="60"/>
              <w:right w:type="dxa" w:w="100"/>
            </w:tcMar>
            <w:vAlign w:val="top"/>
          </w:tcPr>
          <w:p>
            <w:pPr>
              <w:spacing w:after="0" w:before="0" w:line="252"/>
            </w:pPr>
          </w:p>
        </w:tc>
      </w:tr>
    </w:tbl>
    <w:p>
      <w:pPr>
        <w:spacing w:after="120"/>
      </w:pPr>
    </w:p>
    <w:p>
      <w:pPr>
        <w:pStyle w:val="Heading3"/>
        <w:keepNext/>
      </w:pPr>
      <w:r>
        <w:rPr>
          <w:rFonts w:ascii="Calibri" w:cs="Calibri" w:eastAsia="Calibri" w:hAnsi="Calibri"/>
        </w:rPr>
        <w:t xml:space="preserve">Coexisting control planes</w:t>
      </w:r>
    </w:p>
    <w:tbl>
      <w:tblPr>
        <w:tblW w:type="dxa" w:w="9360"/>
        <w:tblBorders>
          <w:top w:val="single" w:color="CBD5E1" w:sz="4"/>
          <w:left w:val="single" w:color="CBD5E1" w:sz="4"/>
          <w:bottom w:val="single" w:color="CBD5E1" w:sz="4"/>
          <w:right w:val="single" w:color="CBD5E1" w:sz="4"/>
          <w:insideH w:val="single" w:color="CBD5E1" w:sz="4"/>
          <w:insideV w:val="single" w:color="CBD5E1" w:sz="4"/>
        </w:tblBorders>
        <w:tblLayout w:type="fixed"/>
      </w:tblPr>
      <w:tblGrid>
        <w:gridCol w:w="1360"/>
        <w:gridCol w:w="2020"/>
        <w:gridCol w:w="2957"/>
        <w:gridCol w:w="3023"/>
      </w:tblGrid>
      <w:tr>
        <w:trPr>
          <w:cantSplit/>
          <w:tblHeader/>
        </w:trPr>
        <w:tc>
          <w:tcPr>
            <w:tcW w:type="dxa" w:w="1360"/>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Estate</w:t>
            </w:r>
          </w:p>
        </w:tc>
        <w:tc>
          <w:tcPr>
            <w:tcW w:type="dxa" w:w="2020"/>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Native agent control plane</w:t>
            </w:r>
          </w:p>
        </w:tc>
        <w:tc>
          <w:tcPr>
            <w:tcW w:type="dxa" w:w="2957"/>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Usually authoritative for</w:t>
            </w:r>
          </w:p>
        </w:tc>
        <w:tc>
          <w:tcPr>
            <w:tcW w:type="dxa" w:w="3023"/>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MuleSoft Agent Fabric’s role</w:t>
            </w:r>
          </w:p>
        </w:tc>
      </w:tr>
      <w:tr>
        <w:trPr>
          <w:cantSplit/>
          <w:tblHeader w:val="false"/>
        </w:trPr>
        <w:tc>
          <w:tcPr>
            <w:tcW w:type="dxa" w:w="1360"/>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Microsoft 365 and Azure</w:t>
            </w:r>
          </w:p>
        </w:tc>
        <w:tc>
          <w:tcPr>
            <w:tcW w:type="dxa" w:w="202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Agent 365 and Microsoft Entra Agent ID</w:t>
            </w:r>
            <w:hyperlink w:history="1" w:anchor="en_12">
              <w:r>
                <w:rPr>
                  <w:rFonts w:ascii="Calibri" w:cs="Calibri" w:eastAsia="Calibri" w:hAnsi="Calibri"/>
                  <w:color w:val="0369A1"/>
                  <w:sz w:val="18"/>
                  <w:szCs w:val="18"/>
                  <w:vertAlign w:val="superscript"/>
                </w:rPr>
                <w:t xml:space="preserve">12</w:t>
              </w:r>
            </w:hyperlink>
          </w:p>
        </w:tc>
        <w:tc>
          <w:tcPr>
            <w:tcW w:type="dxa" w:w="2957"/>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Identities and inventory of Microsoft agents</w:t>
            </w:r>
          </w:p>
          <w:p>
            <w:pPr>
              <w:spacing w:after="0" w:before="0" w:line="252"/>
            </w:pPr>
            <w:r>
              <w:rPr>
                <w:rFonts w:ascii="Calibri" w:cs="Calibri" w:eastAsia="Calibri" w:hAnsi="Calibri"/>
                <w:sz w:val="18"/>
                <w:szCs w:val="18"/>
              </w:rPr>
              <w:t xml:space="preserve">Access to Microsoft 365 data</w:t>
            </w:r>
          </w:p>
        </w:tc>
        <w:tc>
          <w:tcPr>
            <w:tcW w:type="dxa" w:w="3023"/>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Registers Copilot Studio and Foundry agents and applies common policy to their calls into enterprise systems</w:t>
            </w:r>
          </w:p>
        </w:tc>
      </w:tr>
      <w:tr>
        <w:trPr>
          <w:cantSplit/>
          <w:tblHeader w:val="false"/>
        </w:trPr>
        <w:tc>
          <w:tcPr>
            <w:tcW w:type="dxa" w:w="1360"/>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AWS</w:t>
            </w:r>
          </w:p>
        </w:tc>
        <w:tc>
          <w:tcPr>
            <w:tcW w:type="dxa" w:w="202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Amazon Bedrock AgentCore</w:t>
            </w:r>
            <w:hyperlink w:history="1" w:anchor="en_62">
              <w:r>
                <w:rPr>
                  <w:rFonts w:ascii="Calibri" w:cs="Calibri" w:eastAsia="Calibri" w:hAnsi="Calibri"/>
                  <w:color w:val="0369A1"/>
                  <w:sz w:val="18"/>
                  <w:szCs w:val="18"/>
                  <w:vertAlign w:val="superscript"/>
                </w:rPr>
                <w:t xml:space="preserve">62</w:t>
              </w:r>
            </w:hyperlink>
          </w:p>
        </w:tc>
        <w:tc>
          <w:tcPr>
            <w:tcW w:type="dxa" w:w="2957"/>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Runtime, memory and identity for agents built on AWS</w:t>
            </w:r>
          </w:p>
        </w:tc>
        <w:tc>
          <w:tcPr>
            <w:tcW w:type="dxa" w:w="3023"/>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Registers Bedrock and AgentCore agents and governs their access to enterprise APIs and MCP tools</w:t>
            </w:r>
          </w:p>
        </w:tc>
      </w:tr>
      <w:tr>
        <w:trPr>
          <w:cantSplit/>
          <w:tblHeader w:val="false"/>
        </w:trPr>
        <w:tc>
          <w:tcPr>
            <w:tcW w:type="dxa" w:w="1360"/>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Google Cloud</w:t>
            </w:r>
          </w:p>
        </w:tc>
        <w:tc>
          <w:tcPr>
            <w:tcW w:type="dxa" w:w="202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Gemini Enterprise Agent Platform: Agent Registry, Agent Gateway, Agent Identity</w:t>
            </w:r>
            <w:hyperlink w:history="1" w:anchor="en_47">
              <w:r>
                <w:rPr>
                  <w:rFonts w:ascii="Calibri" w:cs="Calibri" w:eastAsia="Calibri" w:hAnsi="Calibri"/>
                  <w:color w:val="0369A1"/>
                  <w:sz w:val="18"/>
                  <w:szCs w:val="18"/>
                  <w:vertAlign w:val="superscript"/>
                </w:rPr>
                <w:t xml:space="preserve">47</w:t>
              </w:r>
            </w:hyperlink>
          </w:p>
        </w:tc>
        <w:tc>
          <w:tcPr>
            <w:tcW w:type="dxa" w:w="2957"/>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Agents built on Google Cloud</w:t>
            </w:r>
          </w:p>
        </w:tc>
        <w:tc>
          <w:tcPr>
            <w:tcW w:type="dxa" w:w="3023"/>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Registers them and applies the same policy as for every other estate</w:t>
            </w:r>
          </w:p>
        </w:tc>
      </w:tr>
      <w:tr>
        <w:trPr>
          <w:cantSplit/>
          <w:tblHeader w:val="false"/>
        </w:trPr>
        <w:tc>
          <w:tcPr>
            <w:tcW w:type="dxa" w:w="1360"/>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Salesforce</w:t>
            </w:r>
          </w:p>
        </w:tc>
        <w:tc>
          <w:tcPr>
            <w:tcW w:type="dxa" w:w="202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Agentforce</w:t>
            </w:r>
          </w:p>
        </w:tc>
        <w:tc>
          <w:tcPr>
            <w:tcW w:type="dxa" w:w="2957"/>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Agents working in Salesforce data and processes</w:t>
            </w:r>
          </w:p>
        </w:tc>
        <w:tc>
          <w:tcPr>
            <w:tcW w:type="dxa" w:w="3023"/>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Registers and governs Agentforce agents</w:t>
            </w:r>
          </w:p>
        </w:tc>
      </w:tr>
      <w:tr>
        <w:trPr>
          <w:cantSplit/>
          <w:tblHeader w:val="false"/>
        </w:trPr>
        <w:tc>
          <w:tcPr>
            <w:tcW w:type="dxa" w:w="1360"/>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Across estates</w:t>
            </w:r>
          </w:p>
        </w:tc>
        <w:tc>
          <w:tcPr>
            <w:tcW w:type="dxa" w:w="202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No single native plane</w:t>
            </w:r>
          </w:p>
        </w:tc>
        <w:tc>
          <w:tcPr>
            <w:tcW w:type="dxa" w:w="2957"/>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Cross-vendor inventory</w:t>
            </w:r>
          </w:p>
          <w:p>
            <w:pPr>
              <w:spacing w:after="80" w:before="0" w:line="252"/>
            </w:pPr>
            <w:r>
              <w:rPr>
                <w:rFonts w:ascii="Calibri" w:cs="Calibri" w:eastAsia="Calibri" w:hAnsi="Calibri"/>
                <w:sz w:val="18"/>
                <w:szCs w:val="18"/>
              </w:rPr>
              <w:t xml:space="preserve">Policy on every call into enterprise capabilities and data</w:t>
            </w:r>
          </w:p>
          <w:p>
            <w:pPr>
              <w:spacing w:after="80" w:before="0" w:line="252"/>
            </w:pPr>
            <w:r>
              <w:rPr>
                <w:rFonts w:ascii="Calibri" w:cs="Calibri" w:eastAsia="Calibri" w:hAnsi="Calibri"/>
                <w:sz w:val="18"/>
                <w:szCs w:val="18"/>
              </w:rPr>
              <w:t xml:space="preserve">Cross-vendor orchestration</w:t>
            </w:r>
          </w:p>
          <w:p>
            <w:pPr>
              <w:spacing w:after="0" w:before="0" w:line="252"/>
            </w:pPr>
            <w:r>
              <w:rPr>
                <w:rFonts w:ascii="Calibri" w:cs="Calibri" w:eastAsia="Calibri" w:hAnsi="Calibri"/>
                <w:sz w:val="18"/>
                <w:szCs w:val="18"/>
              </w:rPr>
              <w:t xml:space="preserve">Cost and audit</w:t>
            </w:r>
          </w:p>
        </w:tc>
        <w:tc>
          <w:tcPr>
            <w:tcW w:type="dxa" w:w="3023"/>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The vendor-neutral control plane</w:t>
            </w:r>
            <w:hyperlink w:history="1" w:anchor="en_21">
              <w:r>
                <w:rPr>
                  <w:rFonts w:ascii="Calibri" w:cs="Calibri" w:eastAsia="Calibri" w:hAnsi="Calibri"/>
                  <w:color w:val="0369A1"/>
                  <w:sz w:val="18"/>
                  <w:szCs w:val="18"/>
                  <w:vertAlign w:val="superscript"/>
                </w:rPr>
                <w:t xml:space="preserve">21</w:t>
              </w:r>
            </w:hyperlink>
          </w:p>
        </w:tc>
      </w:tr>
      <w:tr>
        <w:trPr>
          <w:cantSplit/>
          <w:tblHeader w:val="false"/>
        </w:trPr>
        <w:tc>
          <w:tcPr>
            <w:tcW w:type="dxa" w:w="1360"/>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[Client estate]</w:t>
            </w:r>
          </w:p>
        </w:tc>
        <w:tc>
          <w:tcPr>
            <w:tcW w:type="dxa" w:w="2020"/>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[Plane]</w:t>
            </w:r>
          </w:p>
        </w:tc>
        <w:tc>
          <w:tcPr>
            <w:tcW w:type="dxa" w:w="2957"/>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[What it is authoritative for]</w:t>
            </w:r>
          </w:p>
        </w:tc>
        <w:tc>
          <w:tcPr>
            <w:tcW w:type="dxa" w:w="3023"/>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[Agreed role]</w:t>
            </w:r>
          </w:p>
        </w:tc>
      </w:tr>
    </w:tbl>
    <w:p>
      <w:pPr>
        <w:spacing w:after="120"/>
      </w:pPr>
    </w:p>
    <w:p>
      <w:pPr>
        <w:keepNext/>
        <w:spacing w:after="60" w:before="120" w:line="240" w:lineRule="auto"/>
        <w:jc w:val="center"/>
      </w:pPr>
      <w:r>
        <w:drawing>
          <wp:inline distT="0" distB="0" distL="0" distR="0">
            <wp:extent cx="5943600" cy="2609850"/>
            <wp:effectExtent t="0" r="0" b="0" l="0"/>
            <wp:docPr id="4" name="Figure 8" descr="Realized architecture template" title="Fig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descr=""/>
                    <pic:cNvPicPr>
                      <a:picLocks noChangeAspect="1" noChangeArrowheads="1"/>
                    </pic:cNvPicPr>
                  </pic:nvPicPr>
                  <pic:blipFill>
                    <a:blip r:embed="rId14" cstate="none"/>
                    <a:srcRect/>
                    <a:stretch>
                      <a:fillRect/>
                    </a:stretch>
                  </pic:blipFill>
                  <pic:spPr bwMode="auto">
                    <a:xfrm>
                      <a:off x="0" y="0"/>
                      <a:ext cx="5943600" cy="2609850"/>
                    </a:xfrm>
                    <a:prstGeom prst="rect">
                      <a:avLst/>
                    </a:prstGeom>
                  </pic:spPr>
                </pic:pic>
              </a:graphicData>
            </a:graphic>
          </wp:inline>
        </w:drawing>
      </w:r>
    </w:p>
    <w:p>
      <w:pPr>
        <w:spacing w:after="240"/>
      </w:pPr>
      <w:r>
        <w:rPr>
          <w:rFonts w:ascii="Calibri" w:cs="Calibri" w:eastAsia="Calibri" w:hAnsi="Calibri"/>
          <w:i/>
          <w:iCs/>
          <w:color w:val="64748B"/>
          <w:sz w:val="18"/>
          <w:szCs w:val="18"/>
        </w:rPr>
        <w:t xml:space="preserve">Figure 8. Template: the architecture realized with MuleSoft Agent Fabric and Informatica, as it appears in Part 2 of the client deck. Blue boxes are MuleSoft, orange Informatica, violet both, and white the client’s choice.</w:t>
      </w:r>
    </w:p>
    <w:p>
      <w:pPr>
        <w:pStyle w:val="Heading2"/>
        <w:keepNext/>
        <w:pageBreakBefore/>
      </w:pPr>
      <w:bookmarkStart w:name="p1_T11" w:id="13"/>
      <w:r>
        <w:rPr>
          <w:rFonts w:ascii="Calibri" w:cs="Calibri" w:eastAsia="Calibri" w:hAnsi="Calibri"/>
        </w:rPr>
        <w:t xml:space="preserve">T11. Phased implementation: ROI and business value at every milestone</w:t>
      </w:r>
      <w:bookmarkEnd w:id="13"/>
    </w:p>
    <w:tbl>
      <w:tblPr>
        <w:tblW w:type="dxa" w:w="9360"/>
        <w:tblBorders>
          <w:top w:val="single" w:color="B6D4EA" w:sz="4"/>
          <w:left w:val="single" w:color="B6D4EA" w:sz="4"/>
          <w:bottom w:val="single" w:color="B6D4EA" w:sz="4"/>
          <w:right w:val="single" w:color="B6D4EA" w:sz="4"/>
          <w:insideH w:val="single" w:color="B6D4EA" w:sz="4"/>
          <w:insideV w:val="single" w:color="B6D4EA" w:sz="4"/>
        </w:tblBorders>
        <w:tblLayout w:type="fixed"/>
      </w:tblPr>
      <w:tblGrid>
        <w:gridCol w:w="9360"/>
      </w:tblGrid>
      <w:tr>
        <w:trPr>
          <w:cantSplit/>
        </w:trPr>
        <w:tc>
          <w:tcPr>
            <w:tcW w:type="dxa" w:w="9360"/>
            <w:shd w:fill="EEF6FC" w:color="auto" w:val="clear"/>
            <w:tcMar>
              <w:top w:type="dxa" w:w="140"/>
              <w:left w:type="dxa" w:w="200"/>
              <w:bottom w:type="dxa" w:w="140"/>
              <w:right w:type="dxa" w:w="200"/>
            </w:tcMar>
          </w:tcPr>
          <w:p>
            <w:pPr>
              <w:spacing w:after="100"/>
            </w:pPr>
            <w:r>
              <w:rPr>
                <w:rFonts w:ascii="Calibri" w:cs="Calibri" w:eastAsia="Calibri" w:hAnsi="Calibri"/>
                <w:b/>
                <w:bCs/>
                <w:color w:val="0369A1"/>
                <w:sz w:val="22"/>
                <w:szCs w:val="22"/>
              </w:rPr>
              <w:t xml:space="preserve">How to use T11</w:t>
            </w:r>
          </w:p>
          <w:p>
            <w:pPr>
              <w:spacing w:after="80"/>
            </w:pPr>
            <w:r>
              <w:rPr>
                <w:rFonts w:ascii="Calibri" w:cs="Calibri" w:eastAsia="Calibri" w:hAnsi="Calibri"/>
                <w:b/>
                <w:bCs/>
                <w:sz w:val="20"/>
                <w:szCs w:val="20"/>
              </w:rPr>
              <w:t xml:space="preserve">Purpose.</w:t>
            </w:r>
            <w:r>
              <w:rPr>
                <w:rFonts w:ascii="Calibri" w:cs="Calibri" w:eastAsia="Calibri" w:hAnsi="Calibri"/>
                <w:sz w:val="20"/>
                <w:szCs w:val="20"/>
              </w:rPr>
              <w:t xml:space="preserve">  Show what goes live at each milestone, the KPIs it moves and the value it delivers, quick wins first.</w:t>
            </w:r>
          </w:p>
          <w:p>
            <w:pPr>
              <w:spacing w:after="80"/>
            </w:pPr>
            <w:r>
              <w:rPr>
                <w:rFonts w:ascii="Calibri" w:cs="Calibri" w:eastAsia="Calibri" w:hAnsi="Calibri"/>
                <w:b/>
                <w:bCs/>
                <w:sz w:val="20"/>
                <w:szCs w:val="20"/>
              </w:rPr>
              <w:t xml:space="preserve">When.</w:t>
            </w:r>
            <w:r>
              <w:rPr>
                <w:rFonts w:ascii="Calibri" w:cs="Calibri" w:eastAsia="Calibri" w:hAnsi="Calibri"/>
                <w:sz w:val="20"/>
                <w:szCs w:val="20"/>
              </w:rPr>
              <w:t xml:space="preserve">  Step 5 (phase), in the value and phasing workshop.</w:t>
            </w:r>
          </w:p>
          <w:p>
            <w:pPr>
              <w:spacing w:after="80"/>
            </w:pPr>
            <w:r>
              <w:rPr>
                <w:rFonts w:ascii="Calibri" w:cs="Calibri" w:eastAsia="Calibri" w:hAnsi="Calibri"/>
                <w:b/>
                <w:bCs/>
                <w:sz w:val="20"/>
                <w:szCs w:val="20"/>
              </w:rPr>
              <w:t xml:space="preserve">Who.</w:t>
            </w:r>
            <w:r>
              <w:rPr>
                <w:rFonts w:ascii="Calibri" w:cs="Calibri" w:eastAsia="Calibri" w:hAnsi="Calibri"/>
                <w:sz w:val="20"/>
                <w:szCs w:val="20"/>
              </w:rPr>
              <w:t xml:space="preserve">  The engagement lead and the lead architect, with the business owner and finance.</w:t>
            </w:r>
          </w:p>
          <w:p>
            <w:pPr>
              <w:spacing w:after="60" w:before="120"/>
            </w:pPr>
            <w:r>
              <w:rPr>
                <w:rFonts w:ascii="Calibri" w:cs="Calibri" w:eastAsia="Calibri" w:hAnsi="Calibri"/>
                <w:b/>
                <w:bCs/>
                <w:color w:val="1E293B"/>
                <w:sz w:val="20"/>
                <w:szCs w:val="20"/>
              </w:rPr>
              <w:t xml:space="preserve">How to fill it</w:t>
            </w:r>
          </w:p>
          <w:p>
            <w:pPr>
              <w:pStyle w:val="ListParagraph"/>
              <w:numPr>
                <w:ilvl w:val="0"/>
                <w:numId w:val="19"/>
              </w:numPr>
              <w:spacing w:after="60"/>
            </w:pPr>
            <w:r>
              <w:rPr>
                <w:rFonts w:ascii="Calibri" w:cs="Calibri" w:eastAsia="Calibri" w:hAnsi="Calibri"/>
                <w:sz w:val="20"/>
                <w:szCs w:val="20"/>
              </w:rPr>
              <w:t xml:space="preserve">Align the use case’s milestones (months 3, 8, 12 and 24) with the four platform phases.</w:t>
            </w:r>
          </w:p>
          <w:p>
            <w:pPr>
              <w:pStyle w:val="ListParagraph"/>
              <w:numPr>
                <w:ilvl w:val="0"/>
                <w:numId w:val="19"/>
              </w:numPr>
              <w:spacing w:after="60"/>
            </w:pPr>
            <w:r>
              <w:rPr>
                <w:rFonts w:ascii="Calibri" w:cs="Calibri" w:eastAsia="Calibri" w:hAnsi="Calibri"/>
                <w:sz w:val="20"/>
                <w:szCs w:val="20"/>
              </w:rPr>
              <w:t xml:space="preserve">For each milestone, write what goes live, the KPIs at that milestone and the run-rate value with its formula.</w:t>
            </w:r>
          </w:p>
          <w:p>
            <w:pPr>
              <w:pStyle w:val="ListParagraph"/>
              <w:numPr>
                <w:ilvl w:val="0"/>
                <w:numId w:val="19"/>
              </w:numPr>
              <w:spacing w:after="60"/>
            </w:pPr>
            <w:r>
              <w:rPr>
                <w:rFonts w:ascii="Calibri" w:cs="Calibri" w:eastAsia="Calibri" w:hAnsi="Calibri"/>
                <w:sz w:val="20"/>
                <w:szCs w:val="20"/>
              </w:rPr>
              <w:t xml:space="preserve">Record the foundations each milestone leaves behind for the next use case.</w:t>
            </w:r>
          </w:p>
          <w:p>
            <w:pPr>
              <w:pStyle w:val="ListParagraph"/>
              <w:numPr>
                <w:ilvl w:val="0"/>
                <w:numId w:val="19"/>
              </w:numPr>
              <w:spacing w:after="60"/>
            </w:pPr>
            <w:r>
              <w:rPr>
                <w:rFonts w:ascii="Calibri" w:cs="Calibri" w:eastAsia="Calibri" w:hAnsi="Calibri"/>
                <w:sz w:val="20"/>
                <w:szCs w:val="20"/>
              </w:rPr>
              <w:t xml:space="preserve">Test the month-3 slice against the quick-win test and shrink it until it passes.</w:t>
            </w:r>
          </w:p>
          <w:p>
            <w:pPr>
              <w:pStyle w:val="ListParagraph"/>
              <w:numPr>
                <w:ilvl w:val="0"/>
                <w:numId w:val="19"/>
              </w:numPr>
              <w:spacing w:after="60"/>
            </w:pPr>
            <w:r>
              <w:rPr>
                <w:rFonts w:ascii="Calibri" w:cs="Calibri" w:eastAsia="Calibri" w:hAnsi="Calibri"/>
                <w:sz w:val="20"/>
                <w:szCs w:val="20"/>
              </w:rPr>
              <w:t xml:space="preserve">Add the cumulative value and, with the project team, the costs. Then show net value and payback.</w:t>
            </w:r>
          </w:p>
          <w:p>
            <w:pPr>
              <w:pStyle w:val="ListParagraph"/>
              <w:numPr>
                <w:ilvl w:val="0"/>
                <w:numId w:val="19"/>
              </w:numPr>
              <w:spacing w:after="60"/>
            </w:pPr>
            <w:r>
              <w:rPr>
                <w:rFonts w:ascii="Calibri" w:cs="Calibri" w:eastAsia="Calibri" w:hAnsi="Calibri"/>
                <w:sz w:val="20"/>
                <w:szCs w:val="20"/>
              </w:rPr>
              <w:t xml:space="preserve">Set the plan against the payback benchmarks (</w:t>
            </w:r>
            <w:hyperlink w:history="1" r:id="rIddgvilf7ahxrcodqo8gunf">
              <w:r>
                <w:rPr>
                  <w:rFonts w:ascii="Calibri" w:cs="Calibri" w:eastAsia="Calibri" w:hAnsi="Calibri"/>
                  <w:color w:val="0369A1"/>
                  <w:sz w:val="20"/>
                  <w:szCs w:val="20"/>
                  <w:u w:val="single"/>
                </w:rPr>
                <w:t xml:space="preserve">Section 6</w:t>
              </w:r>
            </w:hyperlink>
            <w:r>
              <w:rPr>
                <w:rFonts w:ascii="Calibri" w:cs="Calibri" w:eastAsia="Calibri" w:hAnsi="Calibri"/>
                <w:sz w:val="20"/>
                <w:szCs w:val="20"/>
              </w:rPr>
              <w:t xml:space="preserve">), and judge generative and agentic slices on separate horizons.</w:t>
            </w:r>
          </w:p>
          <w:p>
            <w:pPr>
              <w:spacing w:after="60" w:before="120"/>
            </w:pPr>
            <w:r>
              <w:rPr>
                <w:rFonts w:ascii="Calibri" w:cs="Calibri" w:eastAsia="Calibri" w:hAnsi="Calibri"/>
                <w:b/>
                <w:bCs/>
                <w:color w:val="1E293B"/>
                <w:sz w:val="20"/>
                <w:szCs w:val="20"/>
              </w:rPr>
              <w:t xml:space="preserve">Tips</w:t>
            </w:r>
          </w:p>
          <w:p>
            <w:pPr>
              <w:pStyle w:val="ListParagraph"/>
              <w:numPr>
                <w:ilvl w:val="0"/>
                <w:numId w:val="20"/>
              </w:numPr>
              <w:spacing w:after="60"/>
            </w:pPr>
            <w:r>
              <w:rPr>
                <w:rFonts w:ascii="Calibri" w:cs="Calibri" w:eastAsia="Calibri" w:hAnsi="Calibri"/>
                <w:sz w:val="20"/>
                <w:szCs w:val="20"/>
              </w:rPr>
              <w:t xml:space="preserve">Agents act in systems of record only from phase 3, under bound approvals and limits that hold across sessions.</w:t>
            </w:r>
          </w:p>
          <w:p>
            <w:pPr>
              <w:pStyle w:val="ListParagraph"/>
              <w:numPr>
                <w:ilvl w:val="0"/>
                <w:numId w:val="20"/>
              </w:numPr>
              <w:spacing w:after="60"/>
            </w:pPr>
            <w:r>
              <w:rPr>
                <w:rFonts w:ascii="Calibri" w:cs="Calibri" w:eastAsia="Calibri" w:hAnsi="Calibri"/>
                <w:sz w:val="20"/>
                <w:szCs w:val="20"/>
              </w:rPr>
              <w:t xml:space="preserve">Never add values across use cases from different businesses.</w:t>
            </w:r>
          </w:p>
          <w:p>
            <w:pPr>
              <w:spacing w:after="80"/>
            </w:pPr>
            <w:r>
              <w:rPr>
                <w:rFonts w:ascii="Calibri" w:cs="Calibri" w:eastAsia="Calibri" w:hAnsi="Calibri"/>
                <w:b/>
                <w:bCs/>
                <w:sz w:val="20"/>
                <w:szCs w:val="20"/>
              </w:rPr>
              <w:t xml:space="preserve">Feeds.</w:t>
            </w:r>
            <w:r>
              <w:rPr>
                <w:rFonts w:ascii="Calibri" w:cs="Calibri" w:eastAsia="Calibri" w:hAnsi="Calibri"/>
                <w:sz w:val="20"/>
                <w:szCs w:val="20"/>
              </w:rPr>
              <w:t xml:space="preserve">  Client deck: Phased plan, Phased delivery, Value arrives at every milestone. Client report: sections 10 and 11.</w:t>
            </w:r>
          </w:p>
        </w:tc>
      </w:tr>
    </w:tbl>
    <w:p>
      <w:pPr>
        <w:spacing w:after="120"/>
      </w:pPr>
    </w:p>
    <w:tbl>
      <w:tblPr>
        <w:tblW w:type="dxa" w:w="9360"/>
        <w:tblBorders>
          <w:top w:val="single" w:color="CBD5E1" w:sz="4"/>
          <w:left w:val="single" w:color="CBD5E1" w:sz="4"/>
          <w:bottom w:val="single" w:color="CBD5E1" w:sz="4"/>
          <w:right w:val="single" w:color="CBD5E1" w:sz="4"/>
          <w:insideH w:val="single" w:color="CBD5E1" w:sz="4"/>
          <w:insideV w:val="single" w:color="CBD5E1" w:sz="4"/>
        </w:tblBorders>
        <w:tblLayout w:type="fixed"/>
      </w:tblPr>
      <w:tblGrid>
        <w:gridCol w:w="1248"/>
        <w:gridCol w:w="1856"/>
        <w:gridCol w:w="1248"/>
        <w:gridCol w:w="1808"/>
        <w:gridCol w:w="1140"/>
        <w:gridCol w:w="2060"/>
      </w:tblGrid>
      <w:tr>
        <w:trPr>
          <w:cantSplit/>
          <w:tblHeader/>
        </w:trPr>
        <w:tc>
          <w:tcPr>
            <w:tcW w:type="dxa" w:w="1248"/>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Milestone</w:t>
            </w:r>
          </w:p>
        </w:tc>
        <w:tc>
          <w:tcPr>
            <w:tcW w:type="dxa" w:w="1856"/>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What goes live</w:t>
            </w:r>
          </w:p>
        </w:tc>
        <w:tc>
          <w:tcPr>
            <w:tcW w:type="dxa" w:w="1248"/>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KPIs at the milestone</w:t>
            </w:r>
          </w:p>
        </w:tc>
        <w:tc>
          <w:tcPr>
            <w:tcW w:type="dxa" w:w="1808"/>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Value (illustrative)</w:t>
            </w:r>
          </w:p>
        </w:tc>
        <w:tc>
          <w:tcPr>
            <w:tcW w:type="dxa" w:w="1140"/>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Formula</w:t>
            </w:r>
          </w:p>
        </w:tc>
        <w:tc>
          <w:tcPr>
            <w:tcW w:type="dxa" w:w="2060"/>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Foundations left behind</w:t>
            </w:r>
          </w:p>
        </w:tc>
      </w:tr>
      <w:tr>
        <w:trPr>
          <w:cantSplit/>
          <w:tblHeader w:val="false"/>
        </w:trPr>
        <w:tc>
          <w:tcPr>
            <w:tcW w:type="dxa" w:w="1248"/>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Month 3 (phase 1)</w:t>
            </w:r>
          </w:p>
        </w:tc>
        <w:tc>
          <w:tcPr>
            <w:tcW w:type="dxa" w:w="1856"/>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[First slice: one scope, read-only or propose-only]</w:t>
            </w:r>
          </w:p>
        </w:tc>
        <w:tc>
          <w:tcPr>
            <w:tcW w:type="dxa" w:w="1248"/>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[KPIs in scope]</w:t>
            </w:r>
          </w:p>
        </w:tc>
        <w:tc>
          <w:tcPr>
            <w:tcW w:type="dxa" w:w="1808"/>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 a year]</w:t>
            </w:r>
          </w:p>
        </w:tc>
        <w:tc>
          <w:tcPr>
            <w:tcW w:type="dxa" w:w="1140"/>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[Formula]</w:t>
            </w:r>
          </w:p>
        </w:tc>
        <w:tc>
          <w:tcPr>
            <w:tcW w:type="dxa" w:w="2060"/>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[Registry, gateway, first MCP tools, golden record]</w:t>
            </w:r>
          </w:p>
        </w:tc>
      </w:tr>
      <w:tr>
        <w:trPr>
          <w:cantSplit/>
          <w:tblHeader w:val="false"/>
        </w:trPr>
        <w:tc>
          <w:tcPr>
            <w:tcW w:type="dxa" w:w="1248"/>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Month 8 (phase 2)</w:t>
            </w:r>
          </w:p>
        </w:tc>
        <w:tc>
          <w:tcPr>
            <w:tcW w:type="dxa" w:w="1856"/>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[Wider scope; drafts and proposals]</w:t>
            </w:r>
          </w:p>
        </w:tc>
        <w:tc>
          <w:tcPr>
            <w:tcW w:type="dxa" w:w="1248"/>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[KPIs]</w:t>
            </w:r>
          </w:p>
        </w:tc>
        <w:tc>
          <w:tcPr>
            <w:tcW w:type="dxa" w:w="1808"/>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 a year]</w:t>
            </w:r>
          </w:p>
        </w:tc>
        <w:tc>
          <w:tcPr>
            <w:tcW w:type="dxa" w:w="1140"/>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[Formula]</w:t>
            </w:r>
          </w:p>
        </w:tc>
        <w:tc>
          <w:tcPr>
            <w:tcW w:type="dxa" w:w="2060"/>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[Reusable APIs and MCP tools; routing and token-based rate limits]</w:t>
            </w:r>
          </w:p>
        </w:tc>
      </w:tr>
      <w:tr>
        <w:trPr>
          <w:cantSplit/>
          <w:tblHeader w:val="false"/>
        </w:trPr>
        <w:tc>
          <w:tcPr>
            <w:tcW w:type="dxa" w:w="1248"/>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Month 12 (phase 3)</w:t>
            </w:r>
          </w:p>
        </w:tc>
        <w:tc>
          <w:tcPr>
            <w:tcW w:type="dxa" w:w="1856"/>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[Every case; gated writes under bound approvals]</w:t>
            </w:r>
          </w:p>
        </w:tc>
        <w:tc>
          <w:tcPr>
            <w:tcW w:type="dxa" w:w="1248"/>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[All KPI targets met]</w:t>
            </w:r>
          </w:p>
        </w:tc>
        <w:tc>
          <w:tcPr>
            <w:tcW w:type="dxa" w:w="1808"/>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 a year]</w:t>
            </w:r>
          </w:p>
        </w:tc>
        <w:tc>
          <w:tcPr>
            <w:tcW w:type="dxa" w:w="1140"/>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[Formula]</w:t>
            </w:r>
          </w:p>
        </w:tc>
        <w:tc>
          <w:tcPr>
            <w:tcW w:type="dxa" w:w="2060"/>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[Agent identities; bound approvals; drills; evaluation]</w:t>
            </w:r>
          </w:p>
        </w:tc>
      </w:tr>
      <w:tr>
        <w:trPr>
          <w:cantSplit/>
          <w:tblHeader w:val="false"/>
        </w:trPr>
        <w:tc>
          <w:tcPr>
            <w:tcW w:type="dxa" w:w="1248"/>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Month 24 (phase 4): all goals met</w:t>
            </w:r>
          </w:p>
        </w:tc>
        <w:tc>
          <w:tcPr>
            <w:tcW w:type="dxa" w:w="1856"/>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[Run rate sustained; adjacent processes]</w:t>
            </w:r>
          </w:p>
        </w:tc>
        <w:tc>
          <w:tcPr>
            <w:tcW w:type="dxa" w:w="1248"/>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[All KPIs held]</w:t>
            </w:r>
          </w:p>
        </w:tc>
        <w:tc>
          <w:tcPr>
            <w:tcW w:type="dxa" w:w="1808"/>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 cumulative]</w:t>
            </w:r>
          </w:p>
        </w:tc>
        <w:tc>
          <w:tcPr>
            <w:tcW w:type="dxa" w:w="1140"/>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[Sum]</w:t>
            </w:r>
          </w:p>
        </w:tc>
        <w:tc>
          <w:tcPr>
            <w:tcW w:type="dxa" w:w="2060"/>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[Federated control plane]</w:t>
            </w:r>
          </w:p>
        </w:tc>
      </w:tr>
    </w:tbl>
    <w:p>
      <w:pPr>
        <w:spacing w:after="120"/>
      </w:pPr>
    </w:p>
    <w:p>
      <w:pPr>
        <w:pStyle w:val="Heading3"/>
        <w:keepNext/>
      </w:pPr>
      <w:r>
        <w:rPr>
          <w:rFonts w:ascii="Calibri" w:cs="Calibri" w:eastAsia="Calibri" w:hAnsi="Calibri"/>
        </w:rPr>
        <w:t xml:space="preserve">Quick-win test for the month-3 slice</w:t>
      </w:r>
    </w:p>
    <w:tbl>
      <w:tblPr>
        <w:tblW w:type="dxa" w:w="9360"/>
        <w:tblBorders>
          <w:top w:val="single" w:color="CBD5E1" w:sz="4"/>
          <w:left w:val="single" w:color="CBD5E1" w:sz="4"/>
          <w:bottom w:val="single" w:color="CBD5E1" w:sz="4"/>
          <w:right w:val="single" w:color="CBD5E1" w:sz="4"/>
          <w:insideH w:val="single" w:color="CBD5E1" w:sz="4"/>
          <w:insideV w:val="single" w:color="CBD5E1" w:sz="4"/>
        </w:tblBorders>
        <w:tblLayout w:type="fixed"/>
      </w:tblPr>
      <w:tblGrid>
        <w:gridCol w:w="4895"/>
        <w:gridCol w:w="2237"/>
        <w:gridCol w:w="2228"/>
      </w:tblGrid>
      <w:tr>
        <w:trPr>
          <w:cantSplit/>
          <w:tblHeader/>
        </w:trPr>
        <w:tc>
          <w:tcPr>
            <w:tcW w:type="dxa" w:w="4895"/>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Test</w:t>
            </w:r>
          </w:p>
        </w:tc>
        <w:tc>
          <w:tcPr>
            <w:tcW w:type="dxa" w:w="2237"/>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Yes or no</w:t>
            </w:r>
          </w:p>
        </w:tc>
        <w:tc>
          <w:tcPr>
            <w:tcW w:type="dxa" w:w="2228"/>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Evidence</w:t>
            </w:r>
          </w:p>
        </w:tc>
      </w:tr>
      <w:tr>
        <w:trPr>
          <w:cantSplit/>
          <w:tblHeader w:val="false"/>
        </w:trPr>
        <w:tc>
          <w:tcPr>
            <w:tcW w:type="dxa" w:w="4895"/>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Shows measurable value within 90 days in one scope (one service line, market, region or site).</w:t>
            </w:r>
          </w:p>
        </w:tc>
        <w:tc>
          <w:tcPr>
            <w:tcW w:type="dxa" w:w="2237"/>
            <w:tcMar>
              <w:top w:type="dxa" w:w="60"/>
              <w:left w:type="dxa" w:w="100"/>
              <w:bottom w:type="dxa" w:w="60"/>
              <w:right w:type="dxa" w:w="100"/>
            </w:tcMar>
            <w:vAlign w:val="top"/>
          </w:tcPr>
          <w:p>
            <w:pPr>
              <w:spacing w:after="0" w:before="0" w:line="252"/>
            </w:pPr>
          </w:p>
        </w:tc>
        <w:tc>
          <w:tcPr>
            <w:tcW w:type="dxa" w:w="2228"/>
            <w:tcMar>
              <w:top w:type="dxa" w:w="60"/>
              <w:left w:type="dxa" w:w="100"/>
              <w:bottom w:type="dxa" w:w="60"/>
              <w:right w:type="dxa" w:w="100"/>
            </w:tcMar>
            <w:vAlign w:val="top"/>
          </w:tcPr>
          <w:p>
            <w:pPr>
              <w:spacing w:after="0" w:before="0" w:line="252"/>
            </w:pPr>
          </w:p>
        </w:tc>
      </w:tr>
      <w:tr>
        <w:trPr>
          <w:cantSplit/>
          <w:tblHeader w:val="false"/>
        </w:trPr>
        <w:tc>
          <w:tcPr>
            <w:tcW w:type="dxa" w:w="4895"/>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Runs read-only or propose-only (tiers 1 and 2): no writes to systems of record yet.</w:t>
            </w:r>
          </w:p>
        </w:tc>
        <w:tc>
          <w:tcPr>
            <w:tcW w:type="dxa" w:w="2237"/>
            <w:tcMar>
              <w:top w:type="dxa" w:w="60"/>
              <w:left w:type="dxa" w:w="100"/>
              <w:bottom w:type="dxa" w:w="60"/>
              <w:right w:type="dxa" w:w="100"/>
            </w:tcMar>
            <w:vAlign w:val="top"/>
          </w:tcPr>
          <w:p>
            <w:pPr>
              <w:spacing w:after="0" w:before="0" w:line="252"/>
            </w:pPr>
          </w:p>
        </w:tc>
        <w:tc>
          <w:tcPr>
            <w:tcW w:type="dxa" w:w="2228"/>
            <w:tcMar>
              <w:top w:type="dxa" w:w="60"/>
              <w:left w:type="dxa" w:w="100"/>
              <w:bottom w:type="dxa" w:w="60"/>
              <w:right w:type="dxa" w:w="100"/>
            </w:tcMar>
            <w:vAlign w:val="top"/>
          </w:tcPr>
          <w:p>
            <w:pPr>
              <w:spacing w:after="0" w:before="0" w:line="252"/>
            </w:pPr>
          </w:p>
        </w:tc>
      </w:tr>
      <w:tr>
        <w:trPr>
          <w:cantSplit/>
          <w:tblHeader w:val="false"/>
        </w:trPr>
        <w:tc>
          <w:tcPr>
            <w:tcW w:type="dxa" w:w="4895"/>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Uses systems and data that are reachable now, or with one connector.</w:t>
            </w:r>
          </w:p>
        </w:tc>
        <w:tc>
          <w:tcPr>
            <w:tcW w:type="dxa" w:w="2237"/>
            <w:tcMar>
              <w:top w:type="dxa" w:w="60"/>
              <w:left w:type="dxa" w:w="100"/>
              <w:bottom w:type="dxa" w:w="60"/>
              <w:right w:type="dxa" w:w="100"/>
            </w:tcMar>
            <w:vAlign w:val="top"/>
          </w:tcPr>
          <w:p>
            <w:pPr>
              <w:spacing w:after="0" w:before="0" w:line="252"/>
            </w:pPr>
          </w:p>
        </w:tc>
        <w:tc>
          <w:tcPr>
            <w:tcW w:type="dxa" w:w="2228"/>
            <w:tcMar>
              <w:top w:type="dxa" w:w="60"/>
              <w:left w:type="dxa" w:w="100"/>
              <w:bottom w:type="dxa" w:w="60"/>
              <w:right w:type="dxa" w:w="100"/>
            </w:tcMar>
            <w:vAlign w:val="top"/>
          </w:tcPr>
          <w:p>
            <w:pPr>
              <w:spacing w:after="0" w:before="0" w:line="252"/>
            </w:pPr>
          </w:p>
        </w:tc>
      </w:tr>
      <w:tr>
        <w:trPr>
          <w:cantSplit/>
          <w:tblHeader w:val="false"/>
        </w:trPr>
        <w:tc>
          <w:tcPr>
            <w:tcW w:type="dxa" w:w="4895"/>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Saves time or money that the users and the sponsor can see.</w:t>
            </w:r>
          </w:p>
        </w:tc>
        <w:tc>
          <w:tcPr>
            <w:tcW w:type="dxa" w:w="2237"/>
            <w:tcMar>
              <w:top w:type="dxa" w:w="60"/>
              <w:left w:type="dxa" w:w="100"/>
              <w:bottom w:type="dxa" w:w="60"/>
              <w:right w:type="dxa" w:w="100"/>
            </w:tcMar>
            <w:vAlign w:val="top"/>
          </w:tcPr>
          <w:p>
            <w:pPr>
              <w:spacing w:after="0" w:before="0" w:line="252"/>
            </w:pPr>
          </w:p>
        </w:tc>
        <w:tc>
          <w:tcPr>
            <w:tcW w:type="dxa" w:w="2228"/>
            <w:tcMar>
              <w:top w:type="dxa" w:w="60"/>
              <w:left w:type="dxa" w:w="100"/>
              <w:bottom w:type="dxa" w:w="60"/>
              <w:right w:type="dxa" w:w="100"/>
            </w:tcMar>
            <w:vAlign w:val="top"/>
          </w:tcPr>
          <w:p>
            <w:pPr>
              <w:spacing w:after="0" w:before="0" w:line="252"/>
            </w:pPr>
          </w:p>
        </w:tc>
      </w:tr>
      <w:tr>
        <w:trPr>
          <w:cantSplit/>
          <w:tblHeader w:val="false"/>
        </w:trPr>
        <w:tc>
          <w:tcPr>
            <w:tcW w:type="dxa" w:w="4895"/>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Leaves a reusable foundation behind: a registered agent, a governed MCP tool, a golden record or the gateway itself.</w:t>
            </w:r>
          </w:p>
        </w:tc>
        <w:tc>
          <w:tcPr>
            <w:tcW w:type="dxa" w:w="2237"/>
            <w:tcMar>
              <w:top w:type="dxa" w:w="60"/>
              <w:left w:type="dxa" w:w="100"/>
              <w:bottom w:type="dxa" w:w="60"/>
              <w:right w:type="dxa" w:w="100"/>
            </w:tcMar>
            <w:vAlign w:val="top"/>
          </w:tcPr>
          <w:p>
            <w:pPr>
              <w:spacing w:after="0" w:before="0" w:line="252"/>
            </w:pPr>
          </w:p>
        </w:tc>
        <w:tc>
          <w:tcPr>
            <w:tcW w:type="dxa" w:w="2228"/>
            <w:tcMar>
              <w:top w:type="dxa" w:w="60"/>
              <w:left w:type="dxa" w:w="100"/>
              <w:bottom w:type="dxa" w:w="60"/>
              <w:right w:type="dxa" w:w="100"/>
            </w:tcMar>
            <w:vAlign w:val="top"/>
          </w:tcPr>
          <w:p>
            <w:pPr>
              <w:spacing w:after="0" w:before="0" w:line="252"/>
            </w:pPr>
          </w:p>
        </w:tc>
      </w:tr>
      <w:tr>
        <w:trPr>
          <w:cantSplit/>
          <w:tblHeader w:val="false"/>
        </w:trPr>
        <w:tc>
          <w:tcPr>
            <w:tcW w:type="dxa" w:w="4895"/>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Has a baseline taken before it starts, so the movement can be proved.</w:t>
            </w:r>
          </w:p>
        </w:tc>
        <w:tc>
          <w:tcPr>
            <w:tcW w:type="dxa" w:w="2237"/>
            <w:tcMar>
              <w:top w:type="dxa" w:w="60"/>
              <w:left w:type="dxa" w:w="100"/>
              <w:bottom w:type="dxa" w:w="60"/>
              <w:right w:type="dxa" w:w="100"/>
            </w:tcMar>
            <w:vAlign w:val="top"/>
          </w:tcPr>
          <w:p>
            <w:pPr>
              <w:spacing w:after="0" w:before="0" w:line="252"/>
            </w:pPr>
          </w:p>
        </w:tc>
        <w:tc>
          <w:tcPr>
            <w:tcW w:type="dxa" w:w="2228"/>
            <w:tcMar>
              <w:top w:type="dxa" w:w="60"/>
              <w:left w:type="dxa" w:w="100"/>
              <w:bottom w:type="dxa" w:w="60"/>
              <w:right w:type="dxa" w:w="100"/>
            </w:tcMar>
            <w:vAlign w:val="top"/>
          </w:tcPr>
          <w:p>
            <w:pPr>
              <w:spacing w:after="0" w:before="0" w:line="252"/>
            </w:pPr>
          </w:p>
        </w:tc>
      </w:tr>
    </w:tbl>
    <w:p>
      <w:pPr>
        <w:spacing w:after="120"/>
      </w:pPr>
    </w:p>
    <w:p>
      <w:pPr>
        <w:pStyle w:val="Heading3"/>
        <w:keepNext/>
      </w:pPr>
      <w:r>
        <w:rPr>
          <w:rFonts w:ascii="Calibri" w:cs="Calibri" w:eastAsia="Calibri" w:hAnsi="Calibri"/>
        </w:rPr>
        <w:t xml:space="preserve">Cumulative value and ROI</w:t>
      </w:r>
    </w:p>
    <w:tbl>
      <w:tblPr>
        <w:tblW w:type="dxa" w:w="9360"/>
        <w:tblBorders>
          <w:top w:val="single" w:color="CBD5E1" w:sz="4"/>
          <w:left w:val="single" w:color="CBD5E1" w:sz="4"/>
          <w:bottom w:val="single" w:color="CBD5E1" w:sz="4"/>
          <w:right w:val="single" w:color="CBD5E1" w:sz="4"/>
          <w:insideH w:val="single" w:color="CBD5E1" w:sz="4"/>
          <w:insideV w:val="single" w:color="CBD5E1" w:sz="4"/>
        </w:tblBorders>
        <w:tblLayout w:type="fixed"/>
      </w:tblPr>
      <w:tblGrid>
        <w:gridCol w:w="1235"/>
        <w:gridCol w:w="1795"/>
        <w:gridCol w:w="1064"/>
        <w:gridCol w:w="1762"/>
        <w:gridCol w:w="1762"/>
        <w:gridCol w:w="1742"/>
      </w:tblGrid>
      <w:tr>
        <w:trPr>
          <w:cantSplit/>
          <w:tblHeader/>
        </w:trPr>
        <w:tc>
          <w:tcPr>
            <w:tcW w:type="dxa" w:w="1235"/>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Period</w:t>
            </w:r>
          </w:p>
        </w:tc>
        <w:tc>
          <w:tcPr>
            <w:tcW w:type="dxa" w:w="1795"/>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Run rate</w:t>
            </w:r>
          </w:p>
        </w:tc>
        <w:tc>
          <w:tcPr>
            <w:tcW w:type="dxa" w:w="1064"/>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Months in force</w:t>
            </w:r>
          </w:p>
        </w:tc>
        <w:tc>
          <w:tcPr>
            <w:tcW w:type="dxa" w:w="1762"/>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Value</w:t>
            </w:r>
          </w:p>
        </w:tc>
        <w:tc>
          <w:tcPr>
            <w:tcW w:type="dxa" w:w="1762"/>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Costs</w:t>
            </w:r>
          </w:p>
        </w:tc>
        <w:tc>
          <w:tcPr>
            <w:tcW w:type="dxa" w:w="1742"/>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Net</w:t>
            </w:r>
          </w:p>
        </w:tc>
      </w:tr>
      <w:tr>
        <w:trPr>
          <w:cantSplit/>
          <w:tblHeader w:val="false"/>
        </w:trPr>
        <w:tc>
          <w:tcPr>
            <w:tcW w:type="dxa" w:w="1235"/>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Months 3–8</w:t>
            </w:r>
          </w:p>
        </w:tc>
        <w:tc>
          <w:tcPr>
            <w:tcW w:type="dxa" w:w="1795"/>
            <w:tcMar>
              <w:top w:type="dxa" w:w="60"/>
              <w:left w:type="dxa" w:w="100"/>
              <w:bottom w:type="dxa" w:w="60"/>
              <w:right w:type="dxa" w:w="100"/>
            </w:tcMar>
            <w:vAlign w:val="top"/>
          </w:tcPr>
          <w:p>
            <w:pPr>
              <w:spacing w:after="0" w:before="0" w:line="252"/>
            </w:pPr>
          </w:p>
        </w:tc>
        <w:tc>
          <w:tcPr>
            <w:tcW w:type="dxa" w:w="1064"/>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5</w:t>
            </w:r>
          </w:p>
        </w:tc>
        <w:tc>
          <w:tcPr>
            <w:tcW w:type="dxa" w:w="1762"/>
            <w:tcMar>
              <w:top w:type="dxa" w:w="60"/>
              <w:left w:type="dxa" w:w="100"/>
              <w:bottom w:type="dxa" w:w="60"/>
              <w:right w:type="dxa" w:w="100"/>
            </w:tcMar>
            <w:vAlign w:val="top"/>
          </w:tcPr>
          <w:p>
            <w:pPr>
              <w:spacing w:after="0" w:before="0" w:line="252"/>
            </w:pPr>
          </w:p>
        </w:tc>
        <w:tc>
          <w:tcPr>
            <w:tcW w:type="dxa" w:w="1762"/>
            <w:tcMar>
              <w:top w:type="dxa" w:w="60"/>
              <w:left w:type="dxa" w:w="100"/>
              <w:bottom w:type="dxa" w:w="60"/>
              <w:right w:type="dxa" w:w="100"/>
            </w:tcMar>
            <w:vAlign w:val="top"/>
          </w:tcPr>
          <w:p>
            <w:pPr>
              <w:spacing w:after="0" w:before="0" w:line="252"/>
            </w:pPr>
          </w:p>
        </w:tc>
        <w:tc>
          <w:tcPr>
            <w:tcW w:type="dxa" w:w="1742"/>
            <w:tcMar>
              <w:top w:type="dxa" w:w="60"/>
              <w:left w:type="dxa" w:w="100"/>
              <w:bottom w:type="dxa" w:w="60"/>
              <w:right w:type="dxa" w:w="100"/>
            </w:tcMar>
            <w:vAlign w:val="top"/>
          </w:tcPr>
          <w:p>
            <w:pPr>
              <w:spacing w:after="0" w:before="0" w:line="252"/>
            </w:pPr>
          </w:p>
        </w:tc>
      </w:tr>
      <w:tr>
        <w:trPr>
          <w:cantSplit/>
          <w:tblHeader w:val="false"/>
        </w:trPr>
        <w:tc>
          <w:tcPr>
            <w:tcW w:type="dxa" w:w="1235"/>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Months 8–12</w:t>
            </w:r>
          </w:p>
        </w:tc>
        <w:tc>
          <w:tcPr>
            <w:tcW w:type="dxa" w:w="1795"/>
            <w:tcMar>
              <w:top w:type="dxa" w:w="60"/>
              <w:left w:type="dxa" w:w="100"/>
              <w:bottom w:type="dxa" w:w="60"/>
              <w:right w:type="dxa" w:w="100"/>
            </w:tcMar>
            <w:vAlign w:val="top"/>
          </w:tcPr>
          <w:p>
            <w:pPr>
              <w:spacing w:after="0" w:before="0" w:line="252"/>
            </w:pPr>
          </w:p>
        </w:tc>
        <w:tc>
          <w:tcPr>
            <w:tcW w:type="dxa" w:w="1064"/>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4</w:t>
            </w:r>
          </w:p>
        </w:tc>
        <w:tc>
          <w:tcPr>
            <w:tcW w:type="dxa" w:w="1762"/>
            <w:tcMar>
              <w:top w:type="dxa" w:w="60"/>
              <w:left w:type="dxa" w:w="100"/>
              <w:bottom w:type="dxa" w:w="60"/>
              <w:right w:type="dxa" w:w="100"/>
            </w:tcMar>
            <w:vAlign w:val="top"/>
          </w:tcPr>
          <w:p>
            <w:pPr>
              <w:spacing w:after="0" w:before="0" w:line="252"/>
            </w:pPr>
          </w:p>
        </w:tc>
        <w:tc>
          <w:tcPr>
            <w:tcW w:type="dxa" w:w="1762"/>
            <w:tcMar>
              <w:top w:type="dxa" w:w="60"/>
              <w:left w:type="dxa" w:w="100"/>
              <w:bottom w:type="dxa" w:w="60"/>
              <w:right w:type="dxa" w:w="100"/>
            </w:tcMar>
            <w:vAlign w:val="top"/>
          </w:tcPr>
          <w:p>
            <w:pPr>
              <w:spacing w:after="0" w:before="0" w:line="252"/>
            </w:pPr>
          </w:p>
        </w:tc>
        <w:tc>
          <w:tcPr>
            <w:tcW w:type="dxa" w:w="1742"/>
            <w:tcMar>
              <w:top w:type="dxa" w:w="60"/>
              <w:left w:type="dxa" w:w="100"/>
              <w:bottom w:type="dxa" w:w="60"/>
              <w:right w:type="dxa" w:w="100"/>
            </w:tcMar>
            <w:vAlign w:val="top"/>
          </w:tcPr>
          <w:p>
            <w:pPr>
              <w:spacing w:after="0" w:before="0" w:line="252"/>
            </w:pPr>
          </w:p>
        </w:tc>
      </w:tr>
      <w:tr>
        <w:trPr>
          <w:cantSplit/>
          <w:tblHeader w:val="false"/>
        </w:trPr>
        <w:tc>
          <w:tcPr>
            <w:tcW w:type="dxa" w:w="1235"/>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Months 12–24</w:t>
            </w:r>
          </w:p>
        </w:tc>
        <w:tc>
          <w:tcPr>
            <w:tcW w:type="dxa" w:w="1795"/>
            <w:tcMar>
              <w:top w:type="dxa" w:w="60"/>
              <w:left w:type="dxa" w:w="100"/>
              <w:bottom w:type="dxa" w:w="60"/>
              <w:right w:type="dxa" w:w="100"/>
            </w:tcMar>
            <w:vAlign w:val="top"/>
          </w:tcPr>
          <w:p>
            <w:pPr>
              <w:spacing w:after="0" w:before="0" w:line="252"/>
            </w:pPr>
          </w:p>
        </w:tc>
        <w:tc>
          <w:tcPr>
            <w:tcW w:type="dxa" w:w="1064"/>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12</w:t>
            </w:r>
          </w:p>
        </w:tc>
        <w:tc>
          <w:tcPr>
            <w:tcW w:type="dxa" w:w="1762"/>
            <w:tcMar>
              <w:top w:type="dxa" w:w="60"/>
              <w:left w:type="dxa" w:w="100"/>
              <w:bottom w:type="dxa" w:w="60"/>
              <w:right w:type="dxa" w:w="100"/>
            </w:tcMar>
            <w:vAlign w:val="top"/>
          </w:tcPr>
          <w:p>
            <w:pPr>
              <w:spacing w:after="0" w:before="0" w:line="252"/>
            </w:pPr>
          </w:p>
        </w:tc>
        <w:tc>
          <w:tcPr>
            <w:tcW w:type="dxa" w:w="1762"/>
            <w:tcMar>
              <w:top w:type="dxa" w:w="60"/>
              <w:left w:type="dxa" w:w="100"/>
              <w:bottom w:type="dxa" w:w="60"/>
              <w:right w:type="dxa" w:w="100"/>
            </w:tcMar>
            <w:vAlign w:val="top"/>
          </w:tcPr>
          <w:p>
            <w:pPr>
              <w:spacing w:after="0" w:before="0" w:line="252"/>
            </w:pPr>
          </w:p>
        </w:tc>
        <w:tc>
          <w:tcPr>
            <w:tcW w:type="dxa" w:w="1742"/>
            <w:tcMar>
              <w:top w:type="dxa" w:w="60"/>
              <w:left w:type="dxa" w:w="100"/>
              <w:bottom w:type="dxa" w:w="60"/>
              <w:right w:type="dxa" w:w="100"/>
            </w:tcMar>
            <w:vAlign w:val="top"/>
          </w:tcPr>
          <w:p>
            <w:pPr>
              <w:spacing w:after="0" w:before="0" w:line="252"/>
            </w:pPr>
          </w:p>
        </w:tc>
      </w:tr>
      <w:tr>
        <w:trPr>
          <w:cantSplit/>
          <w:tblHeader w:val="false"/>
        </w:trPr>
        <w:tc>
          <w:tcPr>
            <w:tcW w:type="dxa" w:w="1235"/>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Total by month 24</w:t>
            </w:r>
          </w:p>
        </w:tc>
        <w:tc>
          <w:tcPr>
            <w:tcW w:type="dxa" w:w="1795"/>
            <w:tcMar>
              <w:top w:type="dxa" w:w="60"/>
              <w:left w:type="dxa" w:w="100"/>
              <w:bottom w:type="dxa" w:w="60"/>
              <w:right w:type="dxa" w:w="100"/>
            </w:tcMar>
            <w:vAlign w:val="top"/>
          </w:tcPr>
          <w:p>
            <w:pPr>
              <w:spacing w:after="0" w:before="0" w:line="252"/>
            </w:pPr>
          </w:p>
        </w:tc>
        <w:tc>
          <w:tcPr>
            <w:tcW w:type="dxa" w:w="1064"/>
            <w:tcMar>
              <w:top w:type="dxa" w:w="60"/>
              <w:left w:type="dxa" w:w="100"/>
              <w:bottom w:type="dxa" w:w="60"/>
              <w:right w:type="dxa" w:w="100"/>
            </w:tcMar>
            <w:vAlign w:val="top"/>
          </w:tcPr>
          <w:p>
            <w:pPr>
              <w:spacing w:after="0" w:before="0" w:line="252"/>
            </w:pPr>
          </w:p>
        </w:tc>
        <w:tc>
          <w:tcPr>
            <w:tcW w:type="dxa" w:w="1762"/>
            <w:tcMar>
              <w:top w:type="dxa" w:w="60"/>
              <w:left w:type="dxa" w:w="100"/>
              <w:bottom w:type="dxa" w:w="60"/>
              <w:right w:type="dxa" w:w="100"/>
            </w:tcMar>
            <w:vAlign w:val="top"/>
          </w:tcPr>
          <w:p>
            <w:pPr>
              <w:spacing w:after="0" w:before="0" w:line="252"/>
            </w:pPr>
          </w:p>
        </w:tc>
        <w:tc>
          <w:tcPr>
            <w:tcW w:type="dxa" w:w="1762"/>
            <w:tcMar>
              <w:top w:type="dxa" w:w="60"/>
              <w:left w:type="dxa" w:w="100"/>
              <w:bottom w:type="dxa" w:w="60"/>
              <w:right w:type="dxa" w:w="100"/>
            </w:tcMar>
            <w:vAlign w:val="top"/>
          </w:tcPr>
          <w:p>
            <w:pPr>
              <w:spacing w:after="0" w:before="0" w:line="252"/>
            </w:pPr>
          </w:p>
        </w:tc>
        <w:tc>
          <w:tcPr>
            <w:tcW w:type="dxa" w:w="1742"/>
            <w:tcMar>
              <w:top w:type="dxa" w:w="60"/>
              <w:left w:type="dxa" w:w="100"/>
              <w:bottom w:type="dxa" w:w="60"/>
              <w:right w:type="dxa" w:w="100"/>
            </w:tcMar>
            <w:vAlign w:val="top"/>
          </w:tcPr>
          <w:p>
            <w:pPr>
              <w:spacing w:after="0" w:before="0" w:line="252"/>
            </w:pPr>
          </w:p>
        </w:tc>
      </w:tr>
    </w:tbl>
    <w:p>
      <w:pPr>
        <w:spacing w:after="120"/>
      </w:pPr>
    </w:p>
    <w:tbl>
      <w:tblPr>
        <w:tblW w:type="dxa" w:w="9360"/>
        <w:tblBorders>
          <w:top w:val="single" w:color="CBD5E1" w:sz="4"/>
          <w:left w:val="single" w:color="CBD5E1" w:sz="4"/>
          <w:bottom w:val="single" w:color="CBD5E1" w:sz="4"/>
          <w:right w:val="single" w:color="CBD5E1" w:sz="4"/>
          <w:insideH w:val="single" w:color="CBD5E1" w:sz="4"/>
          <w:insideV w:val="single" w:color="CBD5E1" w:sz="4"/>
        </w:tblBorders>
        <w:tblLayout w:type="fixed"/>
      </w:tblPr>
      <w:tblGrid>
        <w:gridCol w:w="1686"/>
        <w:gridCol w:w="7674"/>
      </w:tblGrid>
      <w:tr>
        <w:trPr>
          <w:cantSplit/>
          <w:tblHeader w:val="false"/>
        </w:trPr>
        <w:tc>
          <w:tcPr>
            <w:tcW w:type="dxa" w:w="1686"/>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Payback benchmark</w:t>
            </w:r>
          </w:p>
        </w:tc>
        <w:tc>
          <w:tcPr>
            <w:tcW w:type="dxa" w:w="7674"/>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Typical AI payback is two to four years, against seven to 12 months for other technology investments, and 67% of CEOs expect AI returns within one to three years</w:t>
            </w:r>
            <w:hyperlink w:history="1" w:anchor="en_82">
              <w:r>
                <w:rPr>
                  <w:rFonts w:ascii="Calibri" w:cs="Calibri" w:eastAsia="Calibri" w:hAnsi="Calibri"/>
                  <w:color w:val="0369A1"/>
                  <w:sz w:val="18"/>
                  <w:szCs w:val="18"/>
                  <w:vertAlign w:val="superscript"/>
                </w:rPr>
                <w:t xml:space="preserve">82</w:t>
              </w:r>
            </w:hyperlink>
            <w:r>
              <w:rPr>
                <w:rFonts w:ascii="Calibri" w:cs="Calibri" w:eastAsia="Calibri" w:hAnsi="Calibri"/>
                <w:sz w:val="18"/>
                <w:szCs w:val="18"/>
                <w:vertAlign w:val="superscript"/>
              </w:rPr>
              <w:t xml:space="preserve">,</w:t>
            </w:r>
            <w:hyperlink w:history="1" w:anchor="en_83">
              <w:r>
                <w:rPr>
                  <w:rFonts w:ascii="Calibri" w:cs="Calibri" w:eastAsia="Calibri" w:hAnsi="Calibri"/>
                  <w:color w:val="0369A1"/>
                  <w:sz w:val="18"/>
                  <w:szCs w:val="18"/>
                  <w:vertAlign w:val="superscript"/>
                </w:rPr>
                <w:t xml:space="preserve">83</w:t>
              </w:r>
            </w:hyperlink>
          </w:p>
        </w:tc>
      </w:tr>
      <w:tr>
        <w:trPr>
          <w:cantSplit/>
          <w:tblHeader w:val="false"/>
        </w:trPr>
        <w:tc>
          <w:tcPr>
            <w:tcW w:type="dxa" w:w="1686"/>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This plan</w:t>
            </w:r>
          </w:p>
        </w:tc>
        <w:tc>
          <w:tcPr>
            <w:tcW w:type="dxa" w:w="7674"/>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[The payback month once costs are estimated, and how the read-only first slice beats the benchmark]</w:t>
            </w:r>
          </w:p>
        </w:tc>
      </w:tr>
      <w:tr>
        <w:trPr>
          <w:cantSplit/>
          <w:tblHeader w:val="false"/>
        </w:trPr>
        <w:tc>
          <w:tcPr>
            <w:tcW w:type="dxa" w:w="1686"/>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Horizons</w:t>
            </w:r>
          </w:p>
        </w:tc>
        <w:tc>
          <w:tcPr>
            <w:tcW w:type="dxa" w:w="7674"/>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[Read-only and drafting slices judged in months; slices that act in systems of record on a longer horizon]</w:t>
            </w:r>
          </w:p>
        </w:tc>
      </w:tr>
      <w:tr>
        <w:trPr>
          <w:cantSplit/>
          <w:tblHeader w:val="false"/>
        </w:trPr>
        <w:tc>
          <w:tcPr>
            <w:tcW w:type="dxa" w:w="1686"/>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Cost data</w:t>
            </w:r>
          </w:p>
        </w:tc>
        <w:tc>
          <w:tcPr>
            <w:tcW w:type="dxa" w:w="7674"/>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[Billing data attributed to this use case, in the FOCUS format where available; not list prices]</w:t>
            </w:r>
          </w:p>
        </w:tc>
      </w:tr>
    </w:tbl>
    <w:p>
      <w:pPr>
        <w:spacing w:after="120"/>
      </w:pPr>
    </w:p>
    <w:p>
      <w:pPr>
        <w:pStyle w:val="Heading2"/>
        <w:keepNext/>
        <w:pageBreakBefore/>
      </w:pPr>
      <w:bookmarkStart w:name="p1_T12" w:id="14"/>
      <w:r>
        <w:rPr>
          <w:rFonts w:ascii="Calibri" w:cs="Calibri" w:eastAsia="Calibri" w:hAnsi="Calibri"/>
        </w:rPr>
        <w:t xml:space="preserve">T12. Decisions, risks and next steps</w:t>
      </w:r>
      <w:bookmarkEnd w:id="14"/>
    </w:p>
    <w:tbl>
      <w:tblPr>
        <w:tblW w:type="dxa" w:w="9360"/>
        <w:tblBorders>
          <w:top w:val="single" w:color="B6D4EA" w:sz="4"/>
          <w:left w:val="single" w:color="B6D4EA" w:sz="4"/>
          <w:bottom w:val="single" w:color="B6D4EA" w:sz="4"/>
          <w:right w:val="single" w:color="B6D4EA" w:sz="4"/>
          <w:insideH w:val="single" w:color="B6D4EA" w:sz="4"/>
          <w:insideV w:val="single" w:color="B6D4EA" w:sz="4"/>
        </w:tblBorders>
        <w:tblLayout w:type="fixed"/>
      </w:tblPr>
      <w:tblGrid>
        <w:gridCol w:w="9360"/>
      </w:tblGrid>
      <w:tr>
        <w:trPr>
          <w:cantSplit/>
        </w:trPr>
        <w:tc>
          <w:tcPr>
            <w:tcW w:type="dxa" w:w="9360"/>
            <w:shd w:fill="EEF6FC" w:color="auto" w:val="clear"/>
            <w:tcMar>
              <w:top w:type="dxa" w:w="140"/>
              <w:left w:type="dxa" w:w="200"/>
              <w:bottom w:type="dxa" w:w="140"/>
              <w:right w:type="dxa" w:w="200"/>
            </w:tcMar>
          </w:tcPr>
          <w:p>
            <w:pPr>
              <w:spacing w:after="100"/>
            </w:pPr>
            <w:r>
              <w:rPr>
                <w:rFonts w:ascii="Calibri" w:cs="Calibri" w:eastAsia="Calibri" w:hAnsi="Calibri"/>
                <w:b/>
                <w:bCs/>
                <w:color w:val="0369A1"/>
                <w:sz w:val="22"/>
                <w:szCs w:val="22"/>
              </w:rPr>
              <w:t xml:space="preserve">How to use T12</w:t>
            </w:r>
          </w:p>
          <w:p>
            <w:pPr>
              <w:spacing w:after="80"/>
            </w:pPr>
            <w:r>
              <w:rPr>
                <w:rFonts w:ascii="Calibri" w:cs="Calibri" w:eastAsia="Calibri" w:hAnsi="Calibri"/>
                <w:b/>
                <w:bCs/>
                <w:sz w:val="20"/>
                <w:szCs w:val="20"/>
              </w:rPr>
              <w:t xml:space="preserve">Purpose.</w:t>
            </w:r>
            <w:r>
              <w:rPr>
                <w:rFonts w:ascii="Calibri" w:cs="Calibri" w:eastAsia="Calibri" w:hAnsi="Calibri"/>
                <w:sz w:val="20"/>
                <w:szCs w:val="20"/>
              </w:rPr>
              <w:t xml:space="preserve">  Record the decisions you will ask for, the risks and open questions, and the first 90 days.</w:t>
            </w:r>
          </w:p>
          <w:p>
            <w:pPr>
              <w:spacing w:after="80"/>
            </w:pPr>
            <w:r>
              <w:rPr>
                <w:rFonts w:ascii="Calibri" w:cs="Calibri" w:eastAsia="Calibri" w:hAnsi="Calibri"/>
                <w:b/>
                <w:bCs/>
                <w:sz w:val="20"/>
                <w:szCs w:val="20"/>
              </w:rPr>
              <w:t xml:space="preserve">When.</w:t>
            </w:r>
            <w:r>
              <w:rPr>
                <w:rFonts w:ascii="Calibri" w:cs="Calibri" w:eastAsia="Calibri" w:hAnsi="Calibri"/>
                <w:sz w:val="20"/>
                <w:szCs w:val="20"/>
              </w:rPr>
              <w:t xml:space="preserve">  Throughout the engagement, finalized for step 6 (decide).</w:t>
            </w:r>
          </w:p>
          <w:p>
            <w:pPr>
              <w:spacing w:after="80"/>
            </w:pPr>
            <w:r>
              <w:rPr>
                <w:rFonts w:ascii="Calibri" w:cs="Calibri" w:eastAsia="Calibri" w:hAnsi="Calibri"/>
                <w:b/>
                <w:bCs/>
                <w:sz w:val="20"/>
                <w:szCs w:val="20"/>
              </w:rPr>
              <w:t xml:space="preserve">Who.</w:t>
            </w:r>
            <w:r>
              <w:rPr>
                <w:rFonts w:ascii="Calibri" w:cs="Calibri" w:eastAsia="Calibri" w:hAnsi="Calibri"/>
                <w:sz w:val="20"/>
                <w:szCs w:val="20"/>
              </w:rPr>
              <w:t xml:space="preserve">  The engagement lead, with the lead architect for technical risks.</w:t>
            </w:r>
          </w:p>
          <w:p>
            <w:pPr>
              <w:spacing w:after="60" w:before="120"/>
            </w:pPr>
            <w:r>
              <w:rPr>
                <w:rFonts w:ascii="Calibri" w:cs="Calibri" w:eastAsia="Calibri" w:hAnsi="Calibri"/>
                <w:b/>
                <w:bCs/>
                <w:color w:val="1E293B"/>
                <w:sz w:val="20"/>
                <w:szCs w:val="20"/>
              </w:rPr>
              <w:t xml:space="preserve">How to fill it</w:t>
            </w:r>
          </w:p>
          <w:p>
            <w:pPr>
              <w:pStyle w:val="ListParagraph"/>
              <w:numPr>
                <w:ilvl w:val="0"/>
                <w:numId w:val="21"/>
              </w:numPr>
              <w:spacing w:after="60"/>
            </w:pPr>
            <w:r>
              <w:rPr>
                <w:rFonts w:ascii="Calibri" w:cs="Calibri" w:eastAsia="Calibri" w:hAnsi="Calibri"/>
                <w:sz w:val="20"/>
                <w:szCs w:val="20"/>
              </w:rPr>
              <w:t xml:space="preserve">Start from the four standard decisions and adapt them to the client.</w:t>
            </w:r>
          </w:p>
          <w:p>
            <w:pPr>
              <w:pStyle w:val="ListParagraph"/>
              <w:numPr>
                <w:ilvl w:val="0"/>
                <w:numId w:val="21"/>
              </w:numPr>
              <w:spacing w:after="60"/>
            </w:pPr>
            <w:r>
              <w:rPr>
                <w:rFonts w:ascii="Calibri" w:cs="Calibri" w:eastAsia="Calibri" w:hAnsi="Calibri"/>
                <w:sz w:val="20"/>
                <w:szCs w:val="20"/>
              </w:rPr>
              <w:t xml:space="preserve">Log every risk, assumption, issue and dependency with an owner and an action.</w:t>
            </w:r>
          </w:p>
          <w:p>
            <w:pPr>
              <w:pStyle w:val="ListParagraph"/>
              <w:numPr>
                <w:ilvl w:val="0"/>
                <w:numId w:val="21"/>
              </w:numPr>
              <w:spacing w:after="60"/>
            </w:pPr>
            <w:r>
              <w:rPr>
                <w:rFonts w:ascii="Calibri" w:cs="Calibri" w:eastAsia="Calibri" w:hAnsi="Calibri"/>
                <w:sz w:val="20"/>
                <w:szCs w:val="20"/>
              </w:rPr>
              <w:t xml:space="preserve">Write the 90-day plan in four steps with exit criteria.</w:t>
            </w:r>
          </w:p>
          <w:p>
            <w:pPr>
              <w:spacing w:after="60" w:before="120"/>
            </w:pPr>
            <w:r>
              <w:rPr>
                <w:rFonts w:ascii="Calibri" w:cs="Calibri" w:eastAsia="Calibri" w:hAnsi="Calibri"/>
                <w:b/>
                <w:bCs/>
                <w:color w:val="1E293B"/>
                <w:sz w:val="20"/>
                <w:szCs w:val="20"/>
              </w:rPr>
              <w:t xml:space="preserve">Tips</w:t>
            </w:r>
          </w:p>
          <w:p>
            <w:pPr>
              <w:pStyle w:val="ListParagraph"/>
              <w:numPr>
                <w:ilvl w:val="0"/>
                <w:numId w:val="22"/>
              </w:numPr>
              <w:spacing w:after="60"/>
            </w:pPr>
            <w:r>
              <w:rPr>
                <w:rFonts w:ascii="Calibri" w:cs="Calibri" w:eastAsia="Calibri" w:hAnsi="Calibri"/>
                <w:sz w:val="20"/>
                <w:szCs w:val="20"/>
              </w:rPr>
              <w:t xml:space="preserve">Before any agent reaches tier 3, add a decision to approve its takeover runbook and drill (T5).</w:t>
            </w:r>
          </w:p>
          <w:p>
            <w:pPr>
              <w:pStyle w:val="ListParagraph"/>
              <w:numPr>
                <w:ilvl w:val="0"/>
                <w:numId w:val="22"/>
              </w:numPr>
              <w:spacing w:after="60"/>
            </w:pPr>
            <w:r>
              <w:rPr>
                <w:rFonts w:ascii="Calibri" w:cs="Calibri" w:eastAsia="Calibri" w:hAnsi="Calibri"/>
                <w:sz w:val="20"/>
                <w:szCs w:val="20"/>
              </w:rPr>
              <w:t xml:space="preserve">Present the operating model with the decisions: who owns what once the agents are live (T13).</w:t>
            </w:r>
          </w:p>
          <w:p>
            <w:pPr>
              <w:spacing w:after="80"/>
            </w:pPr>
            <w:r>
              <w:rPr>
                <w:rFonts w:ascii="Calibri" w:cs="Calibri" w:eastAsia="Calibri" w:hAnsi="Calibri"/>
                <w:b/>
                <w:bCs/>
                <w:sz w:val="20"/>
                <w:szCs w:val="20"/>
              </w:rPr>
              <w:t xml:space="preserve">Feeds.</w:t>
            </w:r>
            <w:r>
              <w:rPr>
                <w:rFonts w:ascii="Calibri" w:cs="Calibri" w:eastAsia="Calibri" w:hAnsi="Calibri"/>
                <w:sz w:val="20"/>
                <w:szCs w:val="20"/>
              </w:rPr>
              <w:t xml:space="preserve">  Client deck: Decisions. Client report: section 12.</w:t>
            </w:r>
          </w:p>
        </w:tc>
      </w:tr>
    </w:tbl>
    <w:p>
      <w:pPr>
        <w:spacing w:after="120"/>
      </w:pPr>
    </w:p>
    <w:tbl>
      <w:tblPr>
        <w:tblW w:type="dxa" w:w="9360"/>
        <w:tblBorders>
          <w:top w:val="single" w:color="CBD5E1" w:sz="4"/>
          <w:left w:val="single" w:color="CBD5E1" w:sz="4"/>
          <w:bottom w:val="single" w:color="CBD5E1" w:sz="4"/>
          <w:right w:val="single" w:color="CBD5E1" w:sz="4"/>
          <w:insideH w:val="single" w:color="CBD5E1" w:sz="4"/>
          <w:insideV w:val="single" w:color="CBD5E1" w:sz="4"/>
        </w:tblBorders>
        <w:tblLayout w:type="fixed"/>
      </w:tblPr>
      <w:tblGrid>
        <w:gridCol w:w="1748"/>
        <w:gridCol w:w="5065"/>
        <w:gridCol w:w="1512"/>
        <w:gridCol w:w="1035"/>
      </w:tblGrid>
      <w:tr>
        <w:trPr>
          <w:cantSplit/>
          <w:tblHeader/>
        </w:trPr>
        <w:tc>
          <w:tcPr>
            <w:tcW w:type="dxa" w:w="1748"/>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Decision</w:t>
            </w:r>
          </w:p>
        </w:tc>
        <w:tc>
          <w:tcPr>
            <w:tcW w:type="dxa" w:w="5065"/>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What it covers</w:t>
            </w:r>
          </w:p>
        </w:tc>
        <w:tc>
          <w:tcPr>
            <w:tcW w:type="dxa" w:w="1512"/>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Owner</w:t>
            </w:r>
          </w:p>
        </w:tc>
        <w:tc>
          <w:tcPr>
            <w:tcW w:type="dxa" w:w="1035"/>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By when</w:t>
            </w:r>
          </w:p>
        </w:tc>
      </w:tr>
      <w:tr>
        <w:trPr>
          <w:cantSplit/>
          <w:tblHeader w:val="false"/>
        </w:trPr>
        <w:tc>
          <w:tcPr>
            <w:tcW w:type="dxa" w:w="1748"/>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Name an owner</w:t>
            </w:r>
          </w:p>
        </w:tc>
        <w:tc>
          <w:tcPr>
            <w:tcW w:type="dxa" w:w="5065"/>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One accountable executive and an AI governance council covering agents, models and AI spend, with a sponsor for every agent</w:t>
            </w:r>
          </w:p>
        </w:tc>
        <w:tc>
          <w:tcPr>
            <w:tcW w:type="dxa" w:w="1512"/>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[Sponsor]</w:t>
            </w:r>
          </w:p>
        </w:tc>
        <w:tc>
          <w:tcPr>
            <w:tcW w:type="dxa" w:w="1035"/>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[Date]</w:t>
            </w:r>
          </w:p>
        </w:tc>
      </w:tr>
      <w:tr>
        <w:trPr>
          <w:cantSplit/>
          <w:tblHeader w:val="false"/>
        </w:trPr>
        <w:tc>
          <w:tcPr>
            <w:tcW w:type="dxa" w:w="1748"/>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Fund phase 1</w:t>
            </w:r>
          </w:p>
        </w:tc>
        <w:tc>
          <w:tcPr>
            <w:tcW w:type="dxa" w:w="5065"/>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[The first slice, in one scope; every model and tool call through AI Gateway]</w:t>
            </w:r>
          </w:p>
        </w:tc>
        <w:tc>
          <w:tcPr>
            <w:tcW w:type="dxa" w:w="1512"/>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[Sponsor]</w:t>
            </w:r>
          </w:p>
        </w:tc>
        <w:tc>
          <w:tcPr>
            <w:tcW w:type="dxa" w:w="1035"/>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[Date]</w:t>
            </w:r>
          </w:p>
        </w:tc>
      </w:tr>
      <w:tr>
        <w:trPr>
          <w:cantSplit/>
          <w:tblHeader w:val="false"/>
        </w:trPr>
        <w:tc>
          <w:tcPr>
            <w:tcW w:type="dxa" w:w="1748"/>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Adopt the standards</w:t>
            </w:r>
          </w:p>
        </w:tc>
        <w:tc>
          <w:tcPr>
            <w:tcW w:type="dxa" w:w="5065"/>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API-led connectivity, MCP and A2A as enterprise policy</w:t>
            </w:r>
          </w:p>
          <w:p>
            <w:pPr>
              <w:spacing w:after="0" w:before="0" w:line="252"/>
            </w:pPr>
            <w:r>
              <w:rPr>
                <w:rFonts w:ascii="Calibri" w:cs="Calibri" w:eastAsia="Calibri" w:hAnsi="Calibri"/>
                <w:sz w:val="18"/>
                <w:szCs w:val="18"/>
              </w:rPr>
              <w:t xml:space="preserve">Every agent registered and routed through the control plane</w:t>
            </w:r>
          </w:p>
        </w:tc>
        <w:tc>
          <w:tcPr>
            <w:tcW w:type="dxa" w:w="1512"/>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[Enterprise architect]</w:t>
            </w:r>
          </w:p>
        </w:tc>
        <w:tc>
          <w:tcPr>
            <w:tcW w:type="dxa" w:w="1035"/>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[Date]</w:t>
            </w:r>
          </w:p>
        </w:tc>
      </w:tr>
      <w:tr>
        <w:trPr>
          <w:cantSplit/>
          <w:tblHeader w:val="false"/>
        </w:trPr>
        <w:tc>
          <w:tcPr>
            <w:tcW w:type="dxa" w:w="1748"/>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Agree how value is reported</w:t>
            </w:r>
          </w:p>
        </w:tc>
        <w:tc>
          <w:tcPr>
            <w:tcW w:type="dxa" w:w="5065"/>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Baseline the KPIs with finance now and report value at every milestone review</w:t>
            </w:r>
          </w:p>
        </w:tc>
        <w:tc>
          <w:tcPr>
            <w:tcW w:type="dxa" w:w="1512"/>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[Finance partner]</w:t>
            </w:r>
          </w:p>
        </w:tc>
        <w:tc>
          <w:tcPr>
            <w:tcW w:type="dxa" w:w="1035"/>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[Date]</w:t>
            </w:r>
          </w:p>
        </w:tc>
      </w:tr>
    </w:tbl>
    <w:p>
      <w:pPr>
        <w:spacing w:after="120"/>
      </w:pPr>
    </w:p>
    <w:p>
      <w:pPr>
        <w:pStyle w:val="Heading3"/>
        <w:keepNext/>
      </w:pPr>
      <w:r>
        <w:rPr>
          <w:rFonts w:ascii="Calibri" w:cs="Calibri" w:eastAsia="Calibri" w:hAnsi="Calibri"/>
        </w:rPr>
        <w:t xml:space="preserve">Risks, assumptions, issues and dependencies</w:t>
      </w:r>
    </w:p>
    <w:tbl>
      <w:tblPr>
        <w:tblW w:type="dxa" w:w="9360"/>
        <w:tblBorders>
          <w:top w:val="single" w:color="CBD5E1" w:sz="4"/>
          <w:left w:val="single" w:color="CBD5E1" w:sz="4"/>
          <w:bottom w:val="single" w:color="CBD5E1" w:sz="4"/>
          <w:right w:val="single" w:color="CBD5E1" w:sz="4"/>
          <w:insideH w:val="single" w:color="CBD5E1" w:sz="4"/>
          <w:insideV w:val="single" w:color="CBD5E1" w:sz="4"/>
        </w:tblBorders>
        <w:tblLayout w:type="fixed"/>
      </w:tblPr>
      <w:tblGrid>
        <w:gridCol w:w="1792"/>
        <w:gridCol w:w="1938"/>
        <w:gridCol w:w="1834"/>
        <w:gridCol w:w="1979"/>
        <w:gridCol w:w="1817"/>
      </w:tblGrid>
      <w:tr>
        <w:trPr>
          <w:cantSplit/>
          <w:tblHeader/>
        </w:trPr>
        <w:tc>
          <w:tcPr>
            <w:tcW w:type="dxa" w:w="1792"/>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Type</w:t>
            </w:r>
          </w:p>
        </w:tc>
        <w:tc>
          <w:tcPr>
            <w:tcW w:type="dxa" w:w="1938"/>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Description</w:t>
            </w:r>
          </w:p>
        </w:tc>
        <w:tc>
          <w:tcPr>
            <w:tcW w:type="dxa" w:w="1834"/>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Impact</w:t>
            </w:r>
          </w:p>
        </w:tc>
        <w:tc>
          <w:tcPr>
            <w:tcW w:type="dxa" w:w="1979"/>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Mitigation or action</w:t>
            </w:r>
          </w:p>
        </w:tc>
        <w:tc>
          <w:tcPr>
            <w:tcW w:type="dxa" w:w="1817"/>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Owner</w:t>
            </w:r>
          </w:p>
        </w:tc>
      </w:tr>
      <w:tr>
        <w:trPr>
          <w:cantSplit/>
          <w:tblHeader w:val="false"/>
        </w:trPr>
        <w:tc>
          <w:tcPr>
            <w:tcW w:type="dxa" w:w="1792"/>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[Risk]</w:t>
            </w:r>
          </w:p>
        </w:tc>
        <w:tc>
          <w:tcPr>
            <w:tcW w:type="dxa" w:w="1938"/>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[Description]</w:t>
            </w:r>
          </w:p>
        </w:tc>
        <w:tc>
          <w:tcPr>
            <w:tcW w:type="dxa" w:w="1834"/>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[Impact]</w:t>
            </w:r>
          </w:p>
        </w:tc>
        <w:tc>
          <w:tcPr>
            <w:tcW w:type="dxa" w:w="1979"/>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[Action]</w:t>
            </w:r>
          </w:p>
        </w:tc>
        <w:tc>
          <w:tcPr>
            <w:tcW w:type="dxa" w:w="1817"/>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[Owner]</w:t>
            </w:r>
          </w:p>
        </w:tc>
      </w:tr>
      <w:tr>
        <w:trPr>
          <w:cantSplit/>
          <w:tblHeader w:val="false"/>
          <w:trHeight w:val="400" w:hRule="atLeast"/>
        </w:trPr>
        <w:tc>
          <w:tcPr>
            <w:tcW w:type="dxa" w:w="1792"/>
            <w:tcMar>
              <w:top w:type="dxa" w:w="60"/>
              <w:left w:type="dxa" w:w="100"/>
              <w:bottom w:type="dxa" w:w="60"/>
              <w:right w:type="dxa" w:w="100"/>
            </w:tcMar>
            <w:vAlign w:val="top"/>
          </w:tcPr>
          <w:p>
            <w:pPr>
              <w:spacing w:after="0" w:before="0" w:line="252"/>
            </w:pPr>
          </w:p>
        </w:tc>
        <w:tc>
          <w:tcPr>
            <w:tcW w:type="dxa" w:w="1938"/>
            <w:tcMar>
              <w:top w:type="dxa" w:w="60"/>
              <w:left w:type="dxa" w:w="100"/>
              <w:bottom w:type="dxa" w:w="60"/>
              <w:right w:type="dxa" w:w="100"/>
            </w:tcMar>
            <w:vAlign w:val="top"/>
          </w:tcPr>
          <w:p>
            <w:pPr>
              <w:spacing w:after="0" w:before="0" w:line="252"/>
            </w:pPr>
          </w:p>
        </w:tc>
        <w:tc>
          <w:tcPr>
            <w:tcW w:type="dxa" w:w="1834"/>
            <w:tcMar>
              <w:top w:type="dxa" w:w="60"/>
              <w:left w:type="dxa" w:w="100"/>
              <w:bottom w:type="dxa" w:w="60"/>
              <w:right w:type="dxa" w:w="100"/>
            </w:tcMar>
            <w:vAlign w:val="top"/>
          </w:tcPr>
          <w:p>
            <w:pPr>
              <w:spacing w:after="0" w:before="0" w:line="252"/>
            </w:pPr>
          </w:p>
        </w:tc>
        <w:tc>
          <w:tcPr>
            <w:tcW w:type="dxa" w:w="1979"/>
            <w:tcMar>
              <w:top w:type="dxa" w:w="60"/>
              <w:left w:type="dxa" w:w="100"/>
              <w:bottom w:type="dxa" w:w="60"/>
              <w:right w:type="dxa" w:w="100"/>
            </w:tcMar>
            <w:vAlign w:val="top"/>
          </w:tcPr>
          <w:p>
            <w:pPr>
              <w:spacing w:after="0" w:before="0" w:line="252"/>
            </w:pPr>
          </w:p>
        </w:tc>
        <w:tc>
          <w:tcPr>
            <w:tcW w:type="dxa" w:w="1817"/>
            <w:tcMar>
              <w:top w:type="dxa" w:w="60"/>
              <w:left w:type="dxa" w:w="100"/>
              <w:bottom w:type="dxa" w:w="60"/>
              <w:right w:type="dxa" w:w="100"/>
            </w:tcMar>
            <w:vAlign w:val="top"/>
          </w:tcPr>
          <w:p>
            <w:pPr>
              <w:spacing w:after="0" w:before="0" w:line="252"/>
            </w:pPr>
          </w:p>
        </w:tc>
      </w:tr>
      <w:tr>
        <w:trPr>
          <w:cantSplit/>
          <w:tblHeader w:val="false"/>
          <w:trHeight w:val="400" w:hRule="atLeast"/>
        </w:trPr>
        <w:tc>
          <w:tcPr>
            <w:tcW w:type="dxa" w:w="1792"/>
            <w:tcMar>
              <w:top w:type="dxa" w:w="60"/>
              <w:left w:type="dxa" w:w="100"/>
              <w:bottom w:type="dxa" w:w="60"/>
              <w:right w:type="dxa" w:w="100"/>
            </w:tcMar>
            <w:vAlign w:val="top"/>
          </w:tcPr>
          <w:p>
            <w:pPr>
              <w:spacing w:after="0" w:before="0" w:line="252"/>
            </w:pPr>
          </w:p>
        </w:tc>
        <w:tc>
          <w:tcPr>
            <w:tcW w:type="dxa" w:w="1938"/>
            <w:tcMar>
              <w:top w:type="dxa" w:w="60"/>
              <w:left w:type="dxa" w:w="100"/>
              <w:bottom w:type="dxa" w:w="60"/>
              <w:right w:type="dxa" w:w="100"/>
            </w:tcMar>
            <w:vAlign w:val="top"/>
          </w:tcPr>
          <w:p>
            <w:pPr>
              <w:spacing w:after="0" w:before="0" w:line="252"/>
            </w:pPr>
          </w:p>
        </w:tc>
        <w:tc>
          <w:tcPr>
            <w:tcW w:type="dxa" w:w="1834"/>
            <w:tcMar>
              <w:top w:type="dxa" w:w="60"/>
              <w:left w:type="dxa" w:w="100"/>
              <w:bottom w:type="dxa" w:w="60"/>
              <w:right w:type="dxa" w:w="100"/>
            </w:tcMar>
            <w:vAlign w:val="top"/>
          </w:tcPr>
          <w:p>
            <w:pPr>
              <w:spacing w:after="0" w:before="0" w:line="252"/>
            </w:pPr>
          </w:p>
        </w:tc>
        <w:tc>
          <w:tcPr>
            <w:tcW w:type="dxa" w:w="1979"/>
            <w:tcMar>
              <w:top w:type="dxa" w:w="60"/>
              <w:left w:type="dxa" w:w="100"/>
              <w:bottom w:type="dxa" w:w="60"/>
              <w:right w:type="dxa" w:w="100"/>
            </w:tcMar>
            <w:vAlign w:val="top"/>
          </w:tcPr>
          <w:p>
            <w:pPr>
              <w:spacing w:after="0" w:before="0" w:line="252"/>
            </w:pPr>
          </w:p>
        </w:tc>
        <w:tc>
          <w:tcPr>
            <w:tcW w:type="dxa" w:w="1817"/>
            <w:tcMar>
              <w:top w:type="dxa" w:w="60"/>
              <w:left w:type="dxa" w:w="100"/>
              <w:bottom w:type="dxa" w:w="60"/>
              <w:right w:type="dxa" w:w="100"/>
            </w:tcMar>
            <w:vAlign w:val="top"/>
          </w:tcPr>
          <w:p>
            <w:pPr>
              <w:spacing w:after="0" w:before="0" w:line="252"/>
            </w:pPr>
          </w:p>
        </w:tc>
      </w:tr>
      <w:tr>
        <w:trPr>
          <w:cantSplit/>
          <w:tblHeader w:val="false"/>
          <w:trHeight w:val="400" w:hRule="atLeast"/>
        </w:trPr>
        <w:tc>
          <w:tcPr>
            <w:tcW w:type="dxa" w:w="1792"/>
            <w:tcMar>
              <w:top w:type="dxa" w:w="60"/>
              <w:left w:type="dxa" w:w="100"/>
              <w:bottom w:type="dxa" w:w="60"/>
              <w:right w:type="dxa" w:w="100"/>
            </w:tcMar>
            <w:vAlign w:val="top"/>
          </w:tcPr>
          <w:p>
            <w:pPr>
              <w:spacing w:after="0" w:before="0" w:line="252"/>
            </w:pPr>
          </w:p>
        </w:tc>
        <w:tc>
          <w:tcPr>
            <w:tcW w:type="dxa" w:w="1938"/>
            <w:tcMar>
              <w:top w:type="dxa" w:w="60"/>
              <w:left w:type="dxa" w:w="100"/>
              <w:bottom w:type="dxa" w:w="60"/>
              <w:right w:type="dxa" w:w="100"/>
            </w:tcMar>
            <w:vAlign w:val="top"/>
          </w:tcPr>
          <w:p>
            <w:pPr>
              <w:spacing w:after="0" w:before="0" w:line="252"/>
            </w:pPr>
          </w:p>
        </w:tc>
        <w:tc>
          <w:tcPr>
            <w:tcW w:type="dxa" w:w="1834"/>
            <w:tcMar>
              <w:top w:type="dxa" w:w="60"/>
              <w:left w:type="dxa" w:w="100"/>
              <w:bottom w:type="dxa" w:w="60"/>
              <w:right w:type="dxa" w:w="100"/>
            </w:tcMar>
            <w:vAlign w:val="top"/>
          </w:tcPr>
          <w:p>
            <w:pPr>
              <w:spacing w:after="0" w:before="0" w:line="252"/>
            </w:pPr>
          </w:p>
        </w:tc>
        <w:tc>
          <w:tcPr>
            <w:tcW w:type="dxa" w:w="1979"/>
            <w:tcMar>
              <w:top w:type="dxa" w:w="60"/>
              <w:left w:type="dxa" w:w="100"/>
              <w:bottom w:type="dxa" w:w="60"/>
              <w:right w:type="dxa" w:w="100"/>
            </w:tcMar>
            <w:vAlign w:val="top"/>
          </w:tcPr>
          <w:p>
            <w:pPr>
              <w:spacing w:after="0" w:before="0" w:line="252"/>
            </w:pPr>
          </w:p>
        </w:tc>
        <w:tc>
          <w:tcPr>
            <w:tcW w:type="dxa" w:w="1817"/>
            <w:tcMar>
              <w:top w:type="dxa" w:w="60"/>
              <w:left w:type="dxa" w:w="100"/>
              <w:bottom w:type="dxa" w:w="60"/>
              <w:right w:type="dxa" w:w="100"/>
            </w:tcMar>
            <w:vAlign w:val="top"/>
          </w:tcPr>
          <w:p>
            <w:pPr>
              <w:spacing w:after="0" w:before="0" w:line="252"/>
            </w:pPr>
          </w:p>
        </w:tc>
      </w:tr>
      <w:tr>
        <w:trPr>
          <w:cantSplit/>
          <w:tblHeader w:val="false"/>
          <w:trHeight w:val="400" w:hRule="atLeast"/>
        </w:trPr>
        <w:tc>
          <w:tcPr>
            <w:tcW w:type="dxa" w:w="1792"/>
            <w:tcMar>
              <w:top w:type="dxa" w:w="60"/>
              <w:left w:type="dxa" w:w="100"/>
              <w:bottom w:type="dxa" w:w="60"/>
              <w:right w:type="dxa" w:w="100"/>
            </w:tcMar>
            <w:vAlign w:val="top"/>
          </w:tcPr>
          <w:p>
            <w:pPr>
              <w:spacing w:after="0" w:before="0" w:line="252"/>
            </w:pPr>
          </w:p>
        </w:tc>
        <w:tc>
          <w:tcPr>
            <w:tcW w:type="dxa" w:w="1938"/>
            <w:tcMar>
              <w:top w:type="dxa" w:w="60"/>
              <w:left w:type="dxa" w:w="100"/>
              <w:bottom w:type="dxa" w:w="60"/>
              <w:right w:type="dxa" w:w="100"/>
            </w:tcMar>
            <w:vAlign w:val="top"/>
          </w:tcPr>
          <w:p>
            <w:pPr>
              <w:spacing w:after="0" w:before="0" w:line="252"/>
            </w:pPr>
          </w:p>
        </w:tc>
        <w:tc>
          <w:tcPr>
            <w:tcW w:type="dxa" w:w="1834"/>
            <w:tcMar>
              <w:top w:type="dxa" w:w="60"/>
              <w:left w:type="dxa" w:w="100"/>
              <w:bottom w:type="dxa" w:w="60"/>
              <w:right w:type="dxa" w:w="100"/>
            </w:tcMar>
            <w:vAlign w:val="top"/>
          </w:tcPr>
          <w:p>
            <w:pPr>
              <w:spacing w:after="0" w:before="0" w:line="252"/>
            </w:pPr>
          </w:p>
        </w:tc>
        <w:tc>
          <w:tcPr>
            <w:tcW w:type="dxa" w:w="1979"/>
            <w:tcMar>
              <w:top w:type="dxa" w:w="60"/>
              <w:left w:type="dxa" w:w="100"/>
              <w:bottom w:type="dxa" w:w="60"/>
              <w:right w:type="dxa" w:w="100"/>
            </w:tcMar>
            <w:vAlign w:val="top"/>
          </w:tcPr>
          <w:p>
            <w:pPr>
              <w:spacing w:after="0" w:before="0" w:line="252"/>
            </w:pPr>
          </w:p>
        </w:tc>
        <w:tc>
          <w:tcPr>
            <w:tcW w:type="dxa" w:w="1817"/>
            <w:tcMar>
              <w:top w:type="dxa" w:w="60"/>
              <w:left w:type="dxa" w:w="100"/>
              <w:bottom w:type="dxa" w:w="60"/>
              <w:right w:type="dxa" w:w="100"/>
            </w:tcMar>
            <w:vAlign w:val="top"/>
          </w:tcPr>
          <w:p>
            <w:pPr>
              <w:spacing w:after="0" w:before="0" w:line="252"/>
            </w:pPr>
          </w:p>
        </w:tc>
      </w:tr>
    </w:tbl>
    <w:p>
      <w:pPr>
        <w:spacing w:after="120"/>
      </w:pPr>
    </w:p>
    <w:p>
      <w:pPr>
        <w:pStyle w:val="Heading3"/>
        <w:keepNext/>
      </w:pPr>
      <w:r>
        <w:rPr>
          <w:rFonts w:ascii="Calibri" w:cs="Calibri" w:eastAsia="Calibri" w:hAnsi="Calibri"/>
        </w:rPr>
        <w:t xml:space="preserve">The first 90 days</w:t>
      </w:r>
    </w:p>
    <w:tbl>
      <w:tblPr>
        <w:tblW w:type="dxa" w:w="9360"/>
        <w:tblBorders>
          <w:top w:val="single" w:color="CBD5E1" w:sz="4"/>
          <w:left w:val="single" w:color="CBD5E1" w:sz="4"/>
          <w:bottom w:val="single" w:color="CBD5E1" w:sz="4"/>
          <w:right w:val="single" w:color="CBD5E1" w:sz="4"/>
          <w:insideH w:val="single" w:color="CBD5E1" w:sz="4"/>
          <w:insideV w:val="single" w:color="CBD5E1" w:sz="4"/>
        </w:tblBorders>
        <w:tblLayout w:type="fixed"/>
      </w:tblPr>
      <w:tblGrid>
        <w:gridCol w:w="1006"/>
        <w:gridCol w:w="2107"/>
        <w:gridCol w:w="3488"/>
        <w:gridCol w:w="2759"/>
      </w:tblGrid>
      <w:tr>
        <w:trPr>
          <w:cantSplit/>
          <w:tblHeader/>
        </w:trPr>
        <w:tc>
          <w:tcPr>
            <w:tcW w:type="dxa" w:w="1006"/>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Weeks</w:t>
            </w:r>
          </w:p>
        </w:tc>
        <w:tc>
          <w:tcPr>
            <w:tcW w:type="dxa" w:w="2107"/>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Step</w:t>
            </w:r>
          </w:p>
        </w:tc>
        <w:tc>
          <w:tcPr>
            <w:tcW w:type="dxa" w:w="3488"/>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Activities</w:t>
            </w:r>
          </w:p>
        </w:tc>
        <w:tc>
          <w:tcPr>
            <w:tcW w:type="dxa" w:w="2759"/>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Exit criteria</w:t>
            </w:r>
          </w:p>
        </w:tc>
      </w:tr>
      <w:tr>
        <w:trPr>
          <w:cantSplit/>
          <w:tblHeader w:val="false"/>
        </w:trPr>
        <w:tc>
          <w:tcPr>
            <w:tcW w:type="dxa" w:w="1006"/>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1–2</w:t>
            </w:r>
          </w:p>
        </w:tc>
        <w:tc>
          <w:tcPr>
            <w:tcW w:type="dxa" w:w="2107"/>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Pick the scope and baseline</w:t>
            </w:r>
          </w:p>
        </w:tc>
        <w:tc>
          <w:tcPr>
            <w:tcW w:type="dxa" w:w="3488"/>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[Scope; KPI baselines with finance]</w:t>
            </w:r>
          </w:p>
        </w:tc>
        <w:tc>
          <w:tcPr>
            <w:tcW w:type="dxa" w:w="2759"/>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[Baseline signed off]</w:t>
            </w:r>
          </w:p>
        </w:tc>
      </w:tr>
      <w:tr>
        <w:trPr>
          <w:cantSplit/>
          <w:tblHeader w:val="false"/>
        </w:trPr>
        <w:tc>
          <w:tcPr>
            <w:tcW w:type="dxa" w:w="1006"/>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3–6</w:t>
            </w:r>
          </w:p>
        </w:tc>
        <w:tc>
          <w:tcPr>
            <w:tcW w:type="dxa" w:w="2107"/>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Govern the traffic</w:t>
            </w:r>
          </w:p>
        </w:tc>
        <w:tc>
          <w:tcPr>
            <w:tcW w:type="dxa" w:w="3488"/>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[Agent Scanners; Registry; AI Gateway; first golden record]</w:t>
            </w:r>
          </w:p>
        </w:tc>
        <w:tc>
          <w:tcPr>
            <w:tcW w:type="dxa" w:w="2759"/>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[Agents registered; traffic governed]</w:t>
            </w:r>
          </w:p>
        </w:tc>
      </w:tr>
      <w:tr>
        <w:trPr>
          <w:cantSplit/>
          <w:tblHeader w:val="false"/>
        </w:trPr>
        <w:tc>
          <w:tcPr>
            <w:tcW w:type="dxa" w:w="1006"/>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7–10</w:t>
            </w:r>
          </w:p>
        </w:tc>
        <w:tc>
          <w:tcPr>
            <w:tcW w:type="dxa" w:w="2107"/>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Start read-only</w:t>
            </w:r>
          </w:p>
        </w:tc>
        <w:tc>
          <w:tcPr>
            <w:tcW w:type="dxa" w:w="3488"/>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[First agents at tiers 1–2 in assist mode]</w:t>
            </w:r>
          </w:p>
        </w:tc>
        <w:tc>
          <w:tcPr>
            <w:tcW w:type="dxa" w:w="2759"/>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[Users working with the agents]</w:t>
            </w:r>
          </w:p>
        </w:tc>
      </w:tr>
      <w:tr>
        <w:trPr>
          <w:cantSplit/>
          <w:tblHeader w:val="false"/>
        </w:trPr>
        <w:tc>
          <w:tcPr>
            <w:tcW w:type="dxa" w:w="1006"/>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11–13</w:t>
            </w:r>
          </w:p>
        </w:tc>
        <w:tc>
          <w:tcPr>
            <w:tcW w:type="dxa" w:w="2107"/>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Prove and decide</w:t>
            </w:r>
          </w:p>
        </w:tc>
        <w:tc>
          <w:tcPr>
            <w:tcW w:type="dxa" w:w="3488"/>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[KPIs, run-rate value, AI cost]</w:t>
            </w:r>
          </w:p>
        </w:tc>
        <w:tc>
          <w:tcPr>
            <w:tcW w:type="dxa" w:w="2759"/>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[Decision on phase 2]</w:t>
            </w:r>
          </w:p>
        </w:tc>
      </w:tr>
    </w:tbl>
    <w:p>
      <w:pPr>
        <w:spacing w:after="120"/>
      </w:pPr>
    </w:p>
    <w:p>
      <w:pPr>
        <w:pStyle w:val="Heading2"/>
        <w:keepNext/>
        <w:pageBreakBefore/>
      </w:pPr>
      <w:bookmarkStart w:name="p1_T13" w:id="15"/>
      <w:r>
        <w:rPr>
          <w:rFonts w:ascii="Calibri" w:cs="Calibri" w:eastAsia="Calibri" w:hAnsi="Calibri"/>
        </w:rPr>
        <w:t xml:space="preserve">T13. Operating model and adoption plan</w:t>
      </w:r>
      <w:bookmarkEnd w:id="15"/>
    </w:p>
    <w:tbl>
      <w:tblPr>
        <w:tblW w:type="dxa" w:w="9360"/>
        <w:tblBorders>
          <w:top w:val="single" w:color="B6D4EA" w:sz="4"/>
          <w:left w:val="single" w:color="B6D4EA" w:sz="4"/>
          <w:bottom w:val="single" w:color="B6D4EA" w:sz="4"/>
          <w:right w:val="single" w:color="B6D4EA" w:sz="4"/>
          <w:insideH w:val="single" w:color="B6D4EA" w:sz="4"/>
          <w:insideV w:val="single" w:color="B6D4EA" w:sz="4"/>
        </w:tblBorders>
        <w:tblLayout w:type="fixed"/>
      </w:tblPr>
      <w:tblGrid>
        <w:gridCol w:w="9360"/>
      </w:tblGrid>
      <w:tr>
        <w:trPr>
          <w:cantSplit/>
        </w:trPr>
        <w:tc>
          <w:tcPr>
            <w:tcW w:type="dxa" w:w="9360"/>
            <w:shd w:fill="EEF6FC" w:color="auto" w:val="clear"/>
            <w:tcMar>
              <w:top w:type="dxa" w:w="140"/>
              <w:left w:type="dxa" w:w="200"/>
              <w:bottom w:type="dxa" w:w="140"/>
              <w:right w:type="dxa" w:w="200"/>
            </w:tcMar>
          </w:tcPr>
          <w:p>
            <w:pPr>
              <w:spacing w:after="100"/>
            </w:pPr>
            <w:r>
              <w:rPr>
                <w:rFonts w:ascii="Calibri" w:cs="Calibri" w:eastAsia="Calibri" w:hAnsi="Calibri"/>
                <w:b/>
                <w:bCs/>
                <w:color w:val="0369A1"/>
                <w:sz w:val="22"/>
                <w:szCs w:val="22"/>
              </w:rPr>
              <w:t xml:space="preserve">How to use T13</w:t>
            </w:r>
          </w:p>
          <w:p>
            <w:pPr>
              <w:spacing w:after="80"/>
            </w:pPr>
            <w:r>
              <w:rPr>
                <w:rFonts w:ascii="Calibri" w:cs="Calibri" w:eastAsia="Calibri" w:hAnsi="Calibri"/>
                <w:b/>
                <w:bCs/>
                <w:sz w:val="20"/>
                <w:szCs w:val="20"/>
              </w:rPr>
              <w:t xml:space="preserve">Purpose.</w:t>
            </w:r>
            <w:r>
              <w:rPr>
                <w:rFonts w:ascii="Calibri" w:cs="Calibri" w:eastAsia="Calibri" w:hAnsi="Calibri"/>
                <w:sz w:val="20"/>
                <w:szCs w:val="20"/>
              </w:rPr>
              <w:t xml:space="preserve">  Name who owns what once the agents are live, the decisions each role can take, the skills people need, and how adoption and value will be measured.</w:t>
            </w:r>
          </w:p>
          <w:p>
            <w:pPr>
              <w:spacing w:after="80"/>
            </w:pPr>
            <w:r>
              <w:rPr>
                <w:rFonts w:ascii="Calibri" w:cs="Calibri" w:eastAsia="Calibri" w:hAnsi="Calibri"/>
                <w:b/>
                <w:bCs/>
                <w:sz w:val="20"/>
                <w:szCs w:val="20"/>
              </w:rPr>
              <w:t xml:space="preserve">When.</w:t>
            </w:r>
            <w:r>
              <w:rPr>
                <w:rFonts w:ascii="Calibri" w:cs="Calibri" w:eastAsia="Calibri" w:hAnsi="Calibri"/>
                <w:sz w:val="20"/>
                <w:szCs w:val="20"/>
              </w:rPr>
              <w:t xml:space="preserve">  Step 5 (phase), in the value and phasing workshop, then confirmed in step 6 (decide).</w:t>
            </w:r>
          </w:p>
          <w:p>
            <w:pPr>
              <w:spacing w:after="80"/>
            </w:pPr>
            <w:r>
              <w:rPr>
                <w:rFonts w:ascii="Calibri" w:cs="Calibri" w:eastAsia="Calibri" w:hAnsi="Calibri"/>
                <w:b/>
                <w:bCs/>
                <w:sz w:val="20"/>
                <w:szCs w:val="20"/>
              </w:rPr>
              <w:t xml:space="preserve">Who.</w:t>
            </w:r>
            <w:r>
              <w:rPr>
                <w:rFonts w:ascii="Calibri" w:cs="Calibri" w:eastAsia="Calibri" w:hAnsi="Calibri"/>
                <w:sz w:val="20"/>
                <w:szCs w:val="20"/>
              </w:rPr>
              <w:t xml:space="preserve">  The engagement lead, working with the sponsor, the business owner and HR or the change lead. The lead architect covers the platform roles.</w:t>
            </w:r>
          </w:p>
          <w:p>
            <w:pPr>
              <w:spacing w:after="60" w:before="120"/>
            </w:pPr>
            <w:r>
              <w:rPr>
                <w:rFonts w:ascii="Calibri" w:cs="Calibri" w:eastAsia="Calibri" w:hAnsi="Calibri"/>
                <w:b/>
                <w:bCs/>
                <w:color w:val="1E293B"/>
                <w:sz w:val="20"/>
                <w:szCs w:val="20"/>
              </w:rPr>
              <w:t xml:space="preserve">How to fill it</w:t>
            </w:r>
          </w:p>
          <w:p>
            <w:pPr>
              <w:pStyle w:val="ListParagraph"/>
              <w:numPr>
                <w:ilvl w:val="0"/>
                <w:numId w:val="23"/>
              </w:numPr>
              <w:spacing w:after="60"/>
            </w:pPr>
            <w:r>
              <w:rPr>
                <w:rFonts w:ascii="Calibri" w:cs="Calibri" w:eastAsia="Calibri" w:hAnsi="Calibri"/>
                <w:sz w:val="20"/>
                <w:szCs w:val="20"/>
              </w:rPr>
              <w:t xml:space="preserve">Name a person or team for each role, starting with the accountable executive and the AI governance council.</w:t>
            </w:r>
          </w:p>
          <w:p>
            <w:pPr>
              <w:pStyle w:val="ListParagraph"/>
              <w:numPr>
                <w:ilvl w:val="0"/>
                <w:numId w:val="23"/>
              </w:numPr>
              <w:spacing w:after="60"/>
            </w:pPr>
            <w:r>
              <w:rPr>
                <w:rFonts w:ascii="Calibri" w:cs="Calibri" w:eastAsia="Calibri" w:hAnsi="Calibri"/>
                <w:sz w:val="20"/>
                <w:szCs w:val="20"/>
              </w:rPr>
              <w:t xml:space="preserve">Give every agent in T3d a sponsor.</w:t>
            </w:r>
          </w:p>
          <w:p>
            <w:pPr>
              <w:pStyle w:val="ListParagraph"/>
              <w:numPr>
                <w:ilvl w:val="0"/>
                <w:numId w:val="23"/>
              </w:numPr>
              <w:spacing w:after="60"/>
            </w:pPr>
            <w:r>
              <w:rPr>
                <w:rFonts w:ascii="Calibri" w:cs="Calibri" w:eastAsia="Calibri" w:hAnsi="Calibri"/>
                <w:sz w:val="20"/>
                <w:szCs w:val="20"/>
              </w:rPr>
              <w:t xml:space="preserve">Agree the RACI for the control-plane activities below, adapting the defaults to the client.</w:t>
            </w:r>
          </w:p>
          <w:p>
            <w:pPr>
              <w:pStyle w:val="ListParagraph"/>
              <w:numPr>
                <w:ilvl w:val="0"/>
                <w:numId w:val="23"/>
              </w:numPr>
              <w:spacing w:after="60"/>
            </w:pPr>
            <w:r>
              <w:rPr>
                <w:rFonts w:ascii="Calibri" w:cs="Calibri" w:eastAsia="Calibri" w:hAnsi="Calibri"/>
                <w:sz w:val="20"/>
                <w:szCs w:val="20"/>
              </w:rPr>
              <w:t xml:space="preserve">Plan training for each audience before the slice it affects goes live.</w:t>
            </w:r>
          </w:p>
          <w:p>
            <w:pPr>
              <w:pStyle w:val="ListParagraph"/>
              <w:numPr>
                <w:ilvl w:val="0"/>
                <w:numId w:val="23"/>
              </w:numPr>
              <w:spacing w:after="60"/>
            </w:pPr>
            <w:r>
              <w:rPr>
                <w:rFonts w:ascii="Calibri" w:cs="Calibri" w:eastAsia="Calibri" w:hAnsi="Calibri"/>
                <w:sz w:val="20"/>
                <w:szCs w:val="20"/>
              </w:rPr>
              <w:t xml:space="preserve">Choose the adoption measures and their targets, and measure value and acceptance instead of usage.</w:t>
            </w:r>
          </w:p>
          <w:p>
            <w:pPr>
              <w:spacing w:after="60" w:before="120"/>
            </w:pPr>
            <w:r>
              <w:rPr>
                <w:rFonts w:ascii="Calibri" w:cs="Calibri" w:eastAsia="Calibri" w:hAnsi="Calibri"/>
                <w:b/>
                <w:bCs/>
                <w:color w:val="1E293B"/>
                <w:sz w:val="20"/>
                <w:szCs w:val="20"/>
              </w:rPr>
              <w:t xml:space="preserve">Tips</w:t>
            </w:r>
          </w:p>
          <w:p>
            <w:pPr>
              <w:pStyle w:val="ListParagraph"/>
              <w:numPr>
                <w:ilvl w:val="0"/>
                <w:numId w:val="24"/>
              </w:numPr>
              <w:spacing w:after="60"/>
            </w:pPr>
            <w:r>
              <w:rPr>
                <w:rFonts w:ascii="Calibri" w:cs="Calibri" w:eastAsia="Calibri" w:hAnsi="Calibri"/>
                <w:sz w:val="20"/>
                <w:szCs w:val="20"/>
              </w:rPr>
              <w:t xml:space="preserve">Technology is the smaller part of the work: BCG estimates that becoming AI-first “involves 30% technology and 70% people and organization.”</w:t>
            </w:r>
            <w:hyperlink w:history="1" w:anchor="en_85">
              <w:r>
                <w:rPr>
                  <w:rFonts w:ascii="Calibri" w:cs="Calibri" w:eastAsia="Calibri" w:hAnsi="Calibri"/>
                  <w:color w:val="0369A1"/>
                  <w:sz w:val="20"/>
                  <w:szCs w:val="20"/>
                  <w:vertAlign w:val="superscript"/>
                </w:rPr>
                <w:t xml:space="preserve">85</w:t>
              </w:r>
            </w:hyperlink>
          </w:p>
          <w:p>
            <w:pPr>
              <w:pStyle w:val="ListParagraph"/>
              <w:numPr>
                <w:ilvl w:val="0"/>
                <w:numId w:val="24"/>
              </w:numPr>
              <w:spacing w:after="60"/>
            </w:pPr>
            <w:r>
              <w:rPr>
                <w:rFonts w:ascii="Calibri" w:cs="Calibri" w:eastAsia="Calibri" w:hAnsi="Calibri"/>
                <w:sz w:val="20"/>
                <w:szCs w:val="20"/>
              </w:rPr>
              <w:t xml:space="preserve">Agree which work stays human (T1) before any decision on roles.</w:t>
            </w:r>
          </w:p>
          <w:p>
            <w:pPr>
              <w:spacing w:after="80"/>
            </w:pPr>
            <w:r>
              <w:rPr>
                <w:rFonts w:ascii="Calibri" w:cs="Calibri" w:eastAsia="Calibri" w:hAnsi="Calibri"/>
                <w:b/>
                <w:bCs/>
                <w:sz w:val="20"/>
                <w:szCs w:val="20"/>
              </w:rPr>
              <w:t xml:space="preserve">Feeds.</w:t>
            </w:r>
            <w:r>
              <w:rPr>
                <w:rFonts w:ascii="Calibri" w:cs="Calibri" w:eastAsia="Calibri" w:hAnsi="Calibri"/>
                <w:sz w:val="20"/>
                <w:szCs w:val="20"/>
              </w:rPr>
              <w:t xml:space="preserve">  Client deck: Operating model. Client report: sections 10 and 12.</w:t>
            </w:r>
          </w:p>
        </w:tc>
      </w:tr>
    </w:tbl>
    <w:p>
      <w:pPr>
        <w:spacing w:after="120"/>
      </w:pPr>
    </w:p>
    <w:p>
      <w:pPr>
        <w:pStyle w:val="Heading3"/>
        <w:keepNext/>
      </w:pPr>
      <w:r>
        <w:rPr>
          <w:rFonts w:ascii="Calibri" w:cs="Calibri" w:eastAsia="Calibri" w:hAnsi="Calibri"/>
        </w:rPr>
        <w:t xml:space="preserve">Roles and decision rights</w:t>
      </w:r>
    </w:p>
    <w:tbl>
      <w:tblPr>
        <w:tblW w:type="dxa" w:w="9360"/>
        <w:tblBorders>
          <w:top w:val="single" w:color="CBD5E1" w:sz="4"/>
          <w:left w:val="single" w:color="CBD5E1" w:sz="4"/>
          <w:bottom w:val="single" w:color="CBD5E1" w:sz="4"/>
          <w:right w:val="single" w:color="CBD5E1" w:sz="4"/>
          <w:insideH w:val="single" w:color="CBD5E1" w:sz="4"/>
          <w:insideV w:val="single" w:color="CBD5E1" w:sz="4"/>
        </w:tblBorders>
        <w:tblLayout w:type="fixed"/>
      </w:tblPr>
      <w:tblGrid>
        <w:gridCol w:w="2203"/>
        <w:gridCol w:w="1410"/>
        <w:gridCol w:w="2780"/>
        <w:gridCol w:w="2967"/>
      </w:tblGrid>
      <w:tr>
        <w:trPr>
          <w:cantSplit/>
          <w:tblHeader/>
        </w:trPr>
        <w:tc>
          <w:tcPr>
            <w:tcW w:type="dxa" w:w="2203"/>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Role</w:t>
            </w:r>
          </w:p>
        </w:tc>
        <w:tc>
          <w:tcPr>
            <w:tcW w:type="dxa" w:w="1410"/>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Named person or team</w:t>
            </w:r>
          </w:p>
        </w:tc>
        <w:tc>
          <w:tcPr>
            <w:tcW w:type="dxa" w:w="2780"/>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Owns</w:t>
            </w:r>
          </w:p>
        </w:tc>
        <w:tc>
          <w:tcPr>
            <w:tcW w:type="dxa" w:w="2967"/>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Decides</w:t>
            </w:r>
          </w:p>
        </w:tc>
      </w:tr>
      <w:tr>
        <w:trPr>
          <w:cantSplit/>
          <w:tblHeader w:val="false"/>
        </w:trPr>
        <w:tc>
          <w:tcPr>
            <w:tcW w:type="dxa" w:w="2203"/>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Accountable executive</w:t>
            </w:r>
          </w:p>
        </w:tc>
        <w:tc>
          <w:tcPr>
            <w:tcW w:type="dxa" w:w="1410"/>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[Name or team]</w:t>
            </w:r>
          </w:p>
        </w:tc>
        <w:tc>
          <w:tcPr>
            <w:tcW w:type="dxa" w:w="278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The program, its funding and its business cases</w:t>
            </w:r>
          </w:p>
        </w:tc>
        <w:tc>
          <w:tcPr>
            <w:tcW w:type="dxa" w:w="2967"/>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Which phases and use cases proceed</w:t>
            </w:r>
          </w:p>
        </w:tc>
      </w:tr>
      <w:tr>
        <w:trPr>
          <w:cantSplit/>
          <w:tblHeader w:val="false"/>
        </w:trPr>
        <w:tc>
          <w:tcPr>
            <w:tcW w:type="dxa" w:w="2203"/>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AI governance council (architecture, security, risk, data, finance and the business)</w:t>
            </w:r>
          </w:p>
        </w:tc>
        <w:tc>
          <w:tcPr>
            <w:tcW w:type="dxa" w:w="1410"/>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[Name or team]</w:t>
            </w:r>
          </w:p>
        </w:tc>
        <w:tc>
          <w:tcPr>
            <w:tcW w:type="dxa" w:w="278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Policy, autonomy tiers, standards and no-go zones</w:t>
            </w:r>
          </w:p>
        </w:tc>
        <w:tc>
          <w:tcPr>
            <w:tcW w:type="dxa" w:w="2967"/>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Promotions of high-risk agents</w:t>
            </w:r>
          </w:p>
          <w:p>
            <w:pPr>
              <w:spacing w:after="0" w:before="0" w:line="252"/>
            </w:pPr>
            <w:r>
              <w:rPr>
                <w:rFonts w:ascii="Calibri" w:cs="Calibri" w:eastAsia="Calibri" w:hAnsi="Calibri"/>
                <w:sz w:val="18"/>
                <w:szCs w:val="18"/>
              </w:rPr>
              <w:t xml:space="preserve">Exceptions</w:t>
            </w:r>
          </w:p>
        </w:tc>
      </w:tr>
      <w:tr>
        <w:trPr>
          <w:cantSplit/>
          <w:tblHeader w:val="false"/>
        </w:trPr>
        <w:tc>
          <w:tcPr>
            <w:tcW w:type="dxa" w:w="2203"/>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Business owner, per use case</w:t>
            </w:r>
          </w:p>
        </w:tc>
        <w:tc>
          <w:tcPr>
            <w:tcW w:type="dxa" w:w="1410"/>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[Name or team]</w:t>
            </w:r>
          </w:p>
        </w:tc>
        <w:tc>
          <w:tcPr>
            <w:tcW w:type="dxa" w:w="278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Value, KPIs and the process agents work in</w:t>
            </w:r>
          </w:p>
        </w:tc>
        <w:tc>
          <w:tcPr>
            <w:tcW w:type="dxa" w:w="2967"/>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Which steps stay human-led, AI-assisted or AI-led</w:t>
            </w:r>
          </w:p>
          <w:p>
            <w:pPr>
              <w:spacing w:after="0" w:before="0" w:line="252"/>
            </w:pPr>
            <w:r>
              <w:rPr>
                <w:rFonts w:ascii="Calibri" w:cs="Calibri" w:eastAsia="Calibri" w:hAnsi="Calibri"/>
                <w:sz w:val="18"/>
                <w:szCs w:val="18"/>
              </w:rPr>
              <w:t xml:space="preserve">Acceptance of results</w:t>
            </w:r>
          </w:p>
        </w:tc>
      </w:tr>
      <w:tr>
        <w:trPr>
          <w:cantSplit/>
          <w:tblHeader w:val="false"/>
        </w:trPr>
        <w:tc>
          <w:tcPr>
            <w:tcW w:type="dxa" w:w="2203"/>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Agent sponsor, per agent</w:t>
            </w:r>
          </w:p>
        </w:tc>
        <w:tc>
          <w:tcPr>
            <w:tcW w:type="dxa" w:w="1410"/>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[Name or team]</w:t>
            </w:r>
          </w:p>
        </w:tc>
        <w:tc>
          <w:tcPr>
            <w:tcW w:type="dxa" w:w="278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One agent from registration to retirement</w:t>
            </w:r>
          </w:p>
        </w:tc>
        <w:tc>
          <w:tcPr>
            <w:tcW w:type="dxa" w:w="2967"/>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Recertification and retirement</w:t>
            </w:r>
          </w:p>
          <w:p>
            <w:pPr>
              <w:spacing w:after="0" w:before="0" w:line="252"/>
            </w:pPr>
            <w:r>
              <w:rPr>
                <w:rFonts w:ascii="Calibri" w:cs="Calibri" w:eastAsia="Calibri" w:hAnsi="Calibri"/>
                <w:sz w:val="18"/>
                <w:szCs w:val="18"/>
              </w:rPr>
              <w:t xml:space="preserve">The first call in an incident</w:t>
            </w:r>
          </w:p>
        </w:tc>
      </w:tr>
      <w:tr>
        <w:trPr>
          <w:cantSplit/>
          <w:tblHeader w:val="false"/>
        </w:trPr>
        <w:tc>
          <w:tcPr>
            <w:tcW w:type="dxa" w:w="2203"/>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Platform team (the control plane’s product owner)</w:t>
            </w:r>
          </w:p>
        </w:tc>
        <w:tc>
          <w:tcPr>
            <w:tcW w:type="dxa" w:w="1410"/>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[Name or team]</w:t>
            </w:r>
          </w:p>
        </w:tc>
        <w:tc>
          <w:tcPr>
            <w:tcW w:type="dxa" w:w="278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Registry, gateway, identity, evaluation and observability services</w:t>
            </w:r>
          </w:p>
        </w:tc>
        <w:tc>
          <w:tcPr>
            <w:tcW w:type="dxa" w:w="2967"/>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Platform plan, shared policies and onboarding standards</w:t>
            </w:r>
          </w:p>
        </w:tc>
      </w:tr>
      <w:tr>
        <w:trPr>
          <w:cantSplit/>
          <w:tblHeader w:val="false"/>
        </w:trPr>
        <w:tc>
          <w:tcPr>
            <w:tcW w:type="dxa" w:w="2203"/>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Security and risk</w:t>
            </w:r>
          </w:p>
        </w:tc>
        <w:tc>
          <w:tcPr>
            <w:tcW w:type="dxa" w:w="1410"/>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[Name or team]</w:t>
            </w:r>
          </w:p>
        </w:tc>
        <w:tc>
          <w:tcPr>
            <w:tcW w:type="dxa" w:w="278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Threat model, red-teaming and incident response</w:t>
            </w:r>
          </w:p>
        </w:tc>
        <w:tc>
          <w:tcPr>
            <w:tcW w:type="dxa" w:w="2967"/>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Blocking a release</w:t>
            </w:r>
          </w:p>
          <w:p>
            <w:pPr>
              <w:spacing w:after="0" w:before="0" w:line="252"/>
            </w:pPr>
            <w:r>
              <w:rPr>
                <w:rFonts w:ascii="Calibri" w:cs="Calibri" w:eastAsia="Calibri" w:hAnsi="Calibri"/>
                <w:sz w:val="18"/>
                <w:szCs w:val="18"/>
              </w:rPr>
              <w:t xml:space="preserve">Demoting or stopping an agent</w:t>
            </w:r>
          </w:p>
        </w:tc>
      </w:tr>
      <w:tr>
        <w:trPr>
          <w:cantSplit/>
          <w:tblHeader w:val="false"/>
        </w:trPr>
        <w:tc>
          <w:tcPr>
            <w:tcW w:type="dxa" w:w="2203"/>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Finance</w:t>
            </w:r>
          </w:p>
        </w:tc>
        <w:tc>
          <w:tcPr>
            <w:tcW w:type="dxa" w:w="1410"/>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[Name or team]</w:t>
            </w:r>
          </w:p>
        </w:tc>
        <w:tc>
          <w:tcPr>
            <w:tcW w:type="dxa" w:w="278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Cost attribution and value tracking</w:t>
            </w:r>
          </w:p>
        </w:tc>
        <w:tc>
          <w:tcPr>
            <w:tcW w:type="dxa" w:w="2967"/>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How value per milestone is reported</w:t>
            </w:r>
          </w:p>
          <w:p>
            <w:pPr>
              <w:spacing w:after="0" w:before="0" w:line="252"/>
            </w:pPr>
            <w:r>
              <w:rPr>
                <w:rFonts w:ascii="Calibri" w:cs="Calibri" w:eastAsia="Calibri" w:hAnsi="Calibri"/>
                <w:sz w:val="18"/>
                <w:szCs w:val="18"/>
              </w:rPr>
              <w:t xml:space="preserve">Budget thresholds</w:t>
            </w:r>
          </w:p>
        </w:tc>
      </w:tr>
    </w:tbl>
    <w:p>
      <w:pPr>
        <w:spacing w:after="120"/>
      </w:pPr>
    </w:p>
    <w:p>
      <w:pPr>
        <w:pStyle w:val="Heading3"/>
        <w:keepNext/>
      </w:pPr>
      <w:r>
        <w:rPr>
          <w:rFonts w:ascii="Calibri" w:cs="Calibri" w:eastAsia="Calibri" w:hAnsi="Calibri"/>
        </w:rPr>
        <w:t xml:space="preserve">RACI for the control plane</w:t>
      </w:r>
    </w:p>
    <w:tbl>
      <w:tblPr>
        <w:tblW w:type="dxa" w:w="9360"/>
        <w:tblBorders>
          <w:top w:val="single" w:color="CBD5E1" w:sz="4"/>
          <w:left w:val="single" w:color="CBD5E1" w:sz="4"/>
          <w:bottom w:val="single" w:color="CBD5E1" w:sz="4"/>
          <w:right w:val="single" w:color="CBD5E1" w:sz="4"/>
          <w:insideH w:val="single" w:color="CBD5E1" w:sz="4"/>
          <w:insideV w:val="single" w:color="CBD5E1" w:sz="4"/>
        </w:tblBorders>
        <w:tblLayout w:type="fixed"/>
      </w:tblPr>
      <w:tblGrid>
        <w:gridCol w:w="2835"/>
        <w:gridCol w:w="1539"/>
        <w:gridCol w:w="1503"/>
        <w:gridCol w:w="1745"/>
        <w:gridCol w:w="1738"/>
      </w:tblGrid>
      <w:tr>
        <w:trPr>
          <w:cantSplit/>
          <w:tblHeader/>
        </w:trPr>
        <w:tc>
          <w:tcPr>
            <w:tcW w:type="dxa" w:w="2835"/>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Activity</w:t>
            </w:r>
          </w:p>
        </w:tc>
        <w:tc>
          <w:tcPr>
            <w:tcW w:type="dxa" w:w="1539"/>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Accountable</w:t>
            </w:r>
          </w:p>
        </w:tc>
        <w:tc>
          <w:tcPr>
            <w:tcW w:type="dxa" w:w="1503"/>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Responsible</w:t>
            </w:r>
          </w:p>
        </w:tc>
        <w:tc>
          <w:tcPr>
            <w:tcW w:type="dxa" w:w="1745"/>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Consulted</w:t>
            </w:r>
          </w:p>
        </w:tc>
        <w:tc>
          <w:tcPr>
            <w:tcW w:type="dxa" w:w="1738"/>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Informed</w:t>
            </w:r>
          </w:p>
        </w:tc>
      </w:tr>
      <w:tr>
        <w:trPr>
          <w:cantSplit/>
          <w:tblHeader w:val="false"/>
        </w:trPr>
        <w:tc>
          <w:tcPr>
            <w:tcW w:type="dxa" w:w="2835"/>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Register a new agent with its owner, sponsor, tier and system card</w:t>
            </w:r>
          </w:p>
        </w:tc>
        <w:tc>
          <w:tcPr>
            <w:tcW w:type="dxa" w:w="1539"/>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Agent sponsor</w:t>
            </w:r>
          </w:p>
        </w:tc>
        <w:tc>
          <w:tcPr>
            <w:tcW w:type="dxa" w:w="1503"/>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Platform team</w:t>
            </w:r>
          </w:p>
        </w:tc>
        <w:tc>
          <w:tcPr>
            <w:tcW w:type="dxa" w:w="1745"/>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Security and risk</w:t>
            </w:r>
          </w:p>
        </w:tc>
        <w:tc>
          <w:tcPr>
            <w:tcW w:type="dxa" w:w="173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AI governance council</w:t>
            </w:r>
          </w:p>
        </w:tc>
      </w:tr>
      <w:tr>
        <w:trPr>
          <w:cantSplit/>
          <w:tblHeader w:val="false"/>
        </w:trPr>
        <w:tc>
          <w:tcPr>
            <w:tcW w:type="dxa" w:w="2835"/>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Promote an agent to a higher tier</w:t>
            </w:r>
          </w:p>
        </w:tc>
        <w:tc>
          <w:tcPr>
            <w:tcW w:type="dxa" w:w="1539"/>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AI governance council</w:t>
            </w:r>
          </w:p>
        </w:tc>
        <w:tc>
          <w:tcPr>
            <w:tcW w:type="dxa" w:w="1503"/>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Agent sponsor</w:t>
            </w:r>
          </w:p>
        </w:tc>
        <w:tc>
          <w:tcPr>
            <w:tcW w:type="dxa" w:w="1745"/>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Security and risk</w:t>
            </w:r>
          </w:p>
          <w:p>
            <w:pPr>
              <w:spacing w:after="0" w:before="0" w:line="252"/>
            </w:pPr>
            <w:r>
              <w:rPr>
                <w:rFonts w:ascii="Calibri" w:cs="Calibri" w:eastAsia="Calibri" w:hAnsi="Calibri"/>
                <w:sz w:val="18"/>
                <w:szCs w:val="18"/>
              </w:rPr>
              <w:t xml:space="preserve">Business owner</w:t>
            </w:r>
          </w:p>
        </w:tc>
        <w:tc>
          <w:tcPr>
            <w:tcW w:type="dxa" w:w="173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Platform team</w:t>
            </w:r>
          </w:p>
        </w:tc>
      </w:tr>
      <w:tr>
        <w:trPr>
          <w:cantSplit/>
          <w:tblHeader w:val="false"/>
        </w:trPr>
        <w:tc>
          <w:tcPr>
            <w:tcW w:type="dxa" w:w="2835"/>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Recertify or retire an agent</w:t>
            </w:r>
          </w:p>
        </w:tc>
        <w:tc>
          <w:tcPr>
            <w:tcW w:type="dxa" w:w="1539"/>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Agent sponsor</w:t>
            </w:r>
          </w:p>
        </w:tc>
        <w:tc>
          <w:tcPr>
            <w:tcW w:type="dxa" w:w="1503"/>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Platform team</w:t>
            </w:r>
          </w:p>
        </w:tc>
        <w:tc>
          <w:tcPr>
            <w:tcW w:type="dxa" w:w="1745"/>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Business owner</w:t>
            </w:r>
          </w:p>
        </w:tc>
        <w:tc>
          <w:tcPr>
            <w:tcW w:type="dxa" w:w="173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AI governance council</w:t>
            </w:r>
          </w:p>
        </w:tc>
      </w:tr>
      <w:tr>
        <w:trPr>
          <w:cantSplit/>
          <w:tblHeader w:val="false"/>
        </w:trPr>
        <w:tc>
          <w:tcPr>
            <w:tcW w:type="dxa" w:w="2835"/>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Change a shared policy, or approve a new MCP server or model provider</w:t>
            </w:r>
          </w:p>
        </w:tc>
        <w:tc>
          <w:tcPr>
            <w:tcW w:type="dxa" w:w="1539"/>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AI governance council</w:t>
            </w:r>
          </w:p>
        </w:tc>
        <w:tc>
          <w:tcPr>
            <w:tcW w:type="dxa" w:w="1503"/>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Platform team</w:t>
            </w:r>
          </w:p>
        </w:tc>
        <w:tc>
          <w:tcPr>
            <w:tcW w:type="dxa" w:w="1745"/>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Security and risk</w:t>
            </w:r>
          </w:p>
          <w:p>
            <w:pPr>
              <w:spacing w:after="0" w:before="0" w:line="252"/>
            </w:pPr>
            <w:r>
              <w:rPr>
                <w:rFonts w:ascii="Calibri" w:cs="Calibri" w:eastAsia="Calibri" w:hAnsi="Calibri"/>
                <w:sz w:val="18"/>
                <w:szCs w:val="18"/>
              </w:rPr>
              <w:t xml:space="preserve">Enterprise architect</w:t>
            </w:r>
          </w:p>
        </w:tc>
        <w:tc>
          <w:tcPr>
            <w:tcW w:type="dxa" w:w="173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Agent sponsors</w:t>
            </w:r>
          </w:p>
        </w:tc>
      </w:tr>
      <w:tr>
        <w:trPr>
          <w:cantSplit/>
          <w:tblHeader w:val="false"/>
        </w:trPr>
        <w:tc>
          <w:tcPr>
            <w:tcW w:type="dxa" w:w="2835"/>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Stop an agent and run the takeover</w:t>
            </w:r>
          </w:p>
        </w:tc>
        <w:tc>
          <w:tcPr>
            <w:tcW w:type="dxa" w:w="1539"/>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Security and risk</w:t>
            </w:r>
          </w:p>
        </w:tc>
        <w:tc>
          <w:tcPr>
            <w:tcW w:type="dxa" w:w="1503"/>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Agent sponsor</w:t>
            </w:r>
          </w:p>
          <w:p>
            <w:pPr>
              <w:spacing w:after="0" w:before="0" w:line="252"/>
            </w:pPr>
            <w:r>
              <w:rPr>
                <w:rFonts w:ascii="Calibri" w:cs="Calibri" w:eastAsia="Calibri" w:hAnsi="Calibri"/>
                <w:sz w:val="18"/>
                <w:szCs w:val="18"/>
              </w:rPr>
              <w:t xml:space="preserve">The named takeover team</w:t>
            </w:r>
          </w:p>
        </w:tc>
        <w:tc>
          <w:tcPr>
            <w:tcW w:type="dxa" w:w="1745"/>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Platform team</w:t>
            </w:r>
          </w:p>
        </w:tc>
        <w:tc>
          <w:tcPr>
            <w:tcW w:type="dxa" w:w="1738"/>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Business owner</w:t>
            </w:r>
          </w:p>
          <w:p>
            <w:pPr>
              <w:spacing w:after="0" w:before="0" w:line="252"/>
            </w:pPr>
            <w:r>
              <w:rPr>
                <w:rFonts w:ascii="Calibri" w:cs="Calibri" w:eastAsia="Calibri" w:hAnsi="Calibri"/>
                <w:sz w:val="18"/>
                <w:szCs w:val="18"/>
              </w:rPr>
              <w:t xml:space="preserve">Accountable executive</w:t>
            </w:r>
          </w:p>
        </w:tc>
      </w:tr>
      <w:tr>
        <w:trPr>
          <w:cantSplit/>
          <w:tblHeader w:val="false"/>
        </w:trPr>
        <w:tc>
          <w:tcPr>
            <w:tcW w:type="dxa" w:w="2835"/>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Report value and AI cost at each milestone</w:t>
            </w:r>
          </w:p>
        </w:tc>
        <w:tc>
          <w:tcPr>
            <w:tcW w:type="dxa" w:w="1539"/>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Business owner</w:t>
            </w:r>
          </w:p>
        </w:tc>
        <w:tc>
          <w:tcPr>
            <w:tcW w:type="dxa" w:w="1503"/>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Finance</w:t>
            </w:r>
          </w:p>
        </w:tc>
        <w:tc>
          <w:tcPr>
            <w:tcW w:type="dxa" w:w="1745"/>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Platform team</w:t>
            </w:r>
          </w:p>
        </w:tc>
        <w:tc>
          <w:tcPr>
            <w:tcW w:type="dxa" w:w="173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Accountable executive</w:t>
            </w:r>
          </w:p>
        </w:tc>
      </w:tr>
    </w:tbl>
    <w:p>
      <w:pPr>
        <w:spacing w:after="120"/>
      </w:pPr>
    </w:p>
    <w:p>
      <w:pPr>
        <w:pStyle w:val="Heading3"/>
        <w:keepNext/>
      </w:pPr>
      <w:r>
        <w:rPr>
          <w:rFonts w:ascii="Calibri" w:cs="Calibri" w:eastAsia="Calibri" w:hAnsi="Calibri"/>
        </w:rPr>
        <w:t xml:space="preserve">Training plan</w:t>
      </w:r>
    </w:p>
    <w:tbl>
      <w:tblPr>
        <w:tblW w:type="dxa" w:w="9360"/>
        <w:tblBorders>
          <w:top w:val="single" w:color="CBD5E1" w:sz="4"/>
          <w:left w:val="single" w:color="CBD5E1" w:sz="4"/>
          <w:bottom w:val="single" w:color="CBD5E1" w:sz="4"/>
          <w:right w:val="single" w:color="CBD5E1" w:sz="4"/>
          <w:insideH w:val="single" w:color="CBD5E1" w:sz="4"/>
          <w:insideV w:val="single" w:color="CBD5E1" w:sz="4"/>
        </w:tblBorders>
        <w:tblLayout w:type="fixed"/>
      </w:tblPr>
      <w:tblGrid>
        <w:gridCol w:w="1447"/>
        <w:gridCol w:w="5005"/>
        <w:gridCol w:w="1896"/>
        <w:gridCol w:w="1012"/>
      </w:tblGrid>
      <w:tr>
        <w:trPr>
          <w:cantSplit/>
          <w:tblHeader/>
        </w:trPr>
        <w:tc>
          <w:tcPr>
            <w:tcW w:type="dxa" w:w="1447"/>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Audience</w:t>
            </w:r>
          </w:p>
        </w:tc>
        <w:tc>
          <w:tcPr>
            <w:tcW w:type="dxa" w:w="5005"/>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What they need to learn</w:t>
            </w:r>
          </w:p>
        </w:tc>
        <w:tc>
          <w:tcPr>
            <w:tcW w:type="dxa" w:w="1896"/>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When</w:t>
            </w:r>
          </w:p>
        </w:tc>
        <w:tc>
          <w:tcPr>
            <w:tcW w:type="dxa" w:w="1012"/>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Owner</w:t>
            </w:r>
          </w:p>
        </w:tc>
      </w:tr>
      <w:tr>
        <w:trPr>
          <w:cantSplit/>
          <w:tblHeader w:val="false"/>
        </w:trPr>
        <w:tc>
          <w:tcPr>
            <w:tcW w:type="dxa" w:w="1447"/>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Approvers</w:t>
            </w:r>
          </w:p>
        </w:tc>
        <w:tc>
          <w:tcPr>
            <w:tcW w:type="dxa" w:w="5005"/>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What they approve and the facts behind it</w:t>
            </w:r>
          </w:p>
          <w:p>
            <w:pPr>
              <w:spacing w:after="80" w:before="0" w:line="252"/>
            </w:pPr>
            <w:r>
              <w:rPr>
                <w:rFonts w:ascii="Calibri" w:cs="Calibri" w:eastAsia="Calibri" w:hAnsi="Calibri"/>
                <w:sz w:val="18"/>
                <w:szCs w:val="18"/>
              </w:rPr>
              <w:t xml:space="preserve">How bound approvals expire</w:t>
            </w:r>
          </w:p>
          <w:p>
            <w:pPr>
              <w:spacing w:after="0" w:before="0" w:line="252"/>
            </w:pPr>
            <w:r>
              <w:rPr>
                <w:rFonts w:ascii="Calibri" w:cs="Calibri" w:eastAsia="Calibri" w:hAnsi="Calibri"/>
                <w:sz w:val="18"/>
                <w:szCs w:val="18"/>
              </w:rPr>
              <w:t xml:space="preserve">How to stop an agent</w:t>
            </w:r>
          </w:p>
        </w:tc>
        <w:tc>
          <w:tcPr>
            <w:tcW w:type="dxa" w:w="1896"/>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Before their first approval</w:t>
            </w:r>
          </w:p>
        </w:tc>
        <w:tc>
          <w:tcPr>
            <w:tcW w:type="dxa" w:w="1012"/>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[Owner]</w:t>
            </w:r>
          </w:p>
        </w:tc>
      </w:tr>
      <w:tr>
        <w:trPr>
          <w:cantSplit/>
          <w:tblHeader w:val="false"/>
        </w:trPr>
        <w:tc>
          <w:tcPr>
            <w:tcW w:type="dxa" w:w="1447"/>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Agent sponsors</w:t>
            </w:r>
          </w:p>
        </w:tc>
        <w:tc>
          <w:tcPr>
            <w:tcW w:type="dxa" w:w="5005"/>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The agent lifecycle: registration, evaluation, promotion, recertification, retirement and the takeover runbook</w:t>
            </w:r>
          </w:p>
        </w:tc>
        <w:tc>
          <w:tcPr>
            <w:tcW w:type="dxa" w:w="1896"/>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Before they register their first agent</w:t>
            </w:r>
          </w:p>
        </w:tc>
        <w:tc>
          <w:tcPr>
            <w:tcW w:type="dxa" w:w="1012"/>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[Owner]</w:t>
            </w:r>
          </w:p>
        </w:tc>
      </w:tr>
      <w:tr>
        <w:trPr>
          <w:cantSplit/>
          <w:tblHeader w:val="false"/>
        </w:trPr>
        <w:tc>
          <w:tcPr>
            <w:tcW w:type="dxa" w:w="1447"/>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Business teams</w:t>
            </w:r>
          </w:p>
        </w:tc>
        <w:tc>
          <w:tcPr>
            <w:tcW w:type="dxa" w:w="5005"/>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Working alongside agents: reviewing drafts, handling exceptions and taking over when an agent is stopped</w:t>
            </w:r>
          </w:p>
        </w:tc>
        <w:tc>
          <w:tcPr>
            <w:tcW w:type="dxa" w:w="1896"/>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Before each slice goes live</w:t>
            </w:r>
          </w:p>
        </w:tc>
        <w:tc>
          <w:tcPr>
            <w:tcW w:type="dxa" w:w="1012"/>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[Owner]</w:t>
            </w:r>
          </w:p>
        </w:tc>
      </w:tr>
      <w:tr>
        <w:trPr>
          <w:cantSplit/>
          <w:tblHeader w:val="false"/>
        </w:trPr>
        <w:tc>
          <w:tcPr>
            <w:tcW w:type="dxa" w:w="1447"/>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Platform team</w:t>
            </w:r>
          </w:p>
        </w:tc>
        <w:tc>
          <w:tcPr>
            <w:tcW w:type="dxa" w:w="5005"/>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Running the control plane as a product: registry, gateway, identity, evaluation, cost and observability</w:t>
            </w:r>
          </w:p>
        </w:tc>
        <w:tc>
          <w:tcPr>
            <w:tcW w:type="dxa" w:w="1896"/>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Phase 1</w:t>
            </w:r>
          </w:p>
        </w:tc>
        <w:tc>
          <w:tcPr>
            <w:tcW w:type="dxa" w:w="1012"/>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[Owner]</w:t>
            </w:r>
          </w:p>
        </w:tc>
      </w:tr>
      <w:tr>
        <w:trPr>
          <w:cantSplit/>
          <w:tblHeader w:val="false"/>
        </w:trPr>
        <w:tc>
          <w:tcPr>
            <w:tcW w:type="dxa" w:w="1447"/>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Security and risk</w:t>
            </w:r>
          </w:p>
        </w:tc>
        <w:tc>
          <w:tcPr>
            <w:tcW w:type="dxa" w:w="5005"/>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Threat mapping, red-teaming agents, incident response and takeover drills</w:t>
            </w:r>
          </w:p>
        </w:tc>
        <w:tc>
          <w:tcPr>
            <w:tcW w:type="dxa" w:w="1896"/>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Phases 1 to 3</w:t>
            </w:r>
          </w:p>
        </w:tc>
        <w:tc>
          <w:tcPr>
            <w:tcW w:type="dxa" w:w="1012"/>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[Owner]</w:t>
            </w:r>
          </w:p>
        </w:tc>
      </w:tr>
    </w:tbl>
    <w:p>
      <w:pPr>
        <w:spacing w:after="120"/>
      </w:pPr>
    </w:p>
    <w:p>
      <w:pPr>
        <w:pStyle w:val="Heading3"/>
        <w:keepNext/>
      </w:pPr>
      <w:r>
        <w:rPr>
          <w:rFonts w:ascii="Calibri" w:cs="Calibri" w:eastAsia="Calibri" w:hAnsi="Calibri"/>
        </w:rPr>
        <w:t xml:space="preserve">Adoption measures</w:t>
      </w:r>
    </w:p>
    <w:tbl>
      <w:tblPr>
        <w:tblW w:type="dxa" w:w="9360"/>
        <w:tblBorders>
          <w:top w:val="single" w:color="CBD5E1" w:sz="4"/>
          <w:left w:val="single" w:color="CBD5E1" w:sz="4"/>
          <w:bottom w:val="single" w:color="CBD5E1" w:sz="4"/>
          <w:right w:val="single" w:color="CBD5E1" w:sz="4"/>
          <w:insideH w:val="single" w:color="CBD5E1" w:sz="4"/>
          <w:insideV w:val="single" w:color="CBD5E1" w:sz="4"/>
        </w:tblBorders>
        <w:tblLayout w:type="fixed"/>
      </w:tblPr>
      <w:tblGrid>
        <w:gridCol w:w="1795"/>
        <w:gridCol w:w="5077"/>
        <w:gridCol w:w="1325"/>
        <w:gridCol w:w="1163"/>
      </w:tblGrid>
      <w:tr>
        <w:trPr>
          <w:cantSplit/>
          <w:tblHeader/>
        </w:trPr>
        <w:tc>
          <w:tcPr>
            <w:tcW w:type="dxa" w:w="1795"/>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Measure</w:t>
            </w:r>
          </w:p>
        </w:tc>
        <w:tc>
          <w:tcPr>
            <w:tcW w:type="dxa" w:w="5077"/>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Definition</w:t>
            </w:r>
          </w:p>
        </w:tc>
        <w:tc>
          <w:tcPr>
            <w:tcW w:type="dxa" w:w="1325"/>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Baseline</w:t>
            </w:r>
          </w:p>
        </w:tc>
        <w:tc>
          <w:tcPr>
            <w:tcW w:type="dxa" w:w="1163"/>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Target</w:t>
            </w:r>
          </w:p>
        </w:tc>
      </w:tr>
      <w:tr>
        <w:trPr>
          <w:cantSplit/>
          <w:tblHeader w:val="false"/>
        </w:trPr>
        <w:tc>
          <w:tcPr>
            <w:tcW w:type="dxa" w:w="1795"/>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Acceptance rate</w:t>
            </w:r>
          </w:p>
        </w:tc>
        <w:tc>
          <w:tcPr>
            <w:tcW w:type="dxa" w:w="5077"/>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Share of agent outputs accepted without significant edits, with undo and revert counted as rejections</w:t>
            </w:r>
            <w:hyperlink w:history="1" w:anchor="en_60">
              <w:r>
                <w:rPr>
                  <w:rFonts w:ascii="Calibri" w:cs="Calibri" w:eastAsia="Calibri" w:hAnsi="Calibri"/>
                  <w:color w:val="0369A1"/>
                  <w:sz w:val="18"/>
                  <w:szCs w:val="18"/>
                  <w:vertAlign w:val="superscript"/>
                </w:rPr>
                <w:t xml:space="preserve">60</w:t>
              </w:r>
            </w:hyperlink>
          </w:p>
        </w:tc>
        <w:tc>
          <w:tcPr>
            <w:tcW w:type="dxa" w:w="1325"/>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[Baseline]</w:t>
            </w:r>
          </w:p>
        </w:tc>
        <w:tc>
          <w:tcPr>
            <w:tcW w:type="dxa" w:w="1163"/>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[Target]</w:t>
            </w:r>
          </w:p>
        </w:tc>
      </w:tr>
      <w:tr>
        <w:trPr>
          <w:cantSplit/>
          <w:tblHeader w:val="false"/>
        </w:trPr>
        <w:tc>
          <w:tcPr>
            <w:tcW w:type="dxa" w:w="1795"/>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Takeover rate</w:t>
            </w:r>
          </w:p>
        </w:tc>
        <w:tc>
          <w:tcPr>
            <w:tcW w:type="dxa" w:w="5077"/>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How often a person has to step in and take over a task the agent started</w:t>
            </w:r>
            <w:hyperlink w:history="1" w:anchor="en_60">
              <w:r>
                <w:rPr>
                  <w:rFonts w:ascii="Calibri" w:cs="Calibri" w:eastAsia="Calibri" w:hAnsi="Calibri"/>
                  <w:color w:val="0369A1"/>
                  <w:sz w:val="18"/>
                  <w:szCs w:val="18"/>
                  <w:vertAlign w:val="superscript"/>
                </w:rPr>
                <w:t xml:space="preserve">60</w:t>
              </w:r>
            </w:hyperlink>
          </w:p>
        </w:tc>
        <w:tc>
          <w:tcPr>
            <w:tcW w:type="dxa" w:w="1325"/>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[Baseline]</w:t>
            </w:r>
          </w:p>
        </w:tc>
        <w:tc>
          <w:tcPr>
            <w:tcW w:type="dxa" w:w="1163"/>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[Target]</w:t>
            </w:r>
          </w:p>
        </w:tc>
      </w:tr>
      <w:tr>
        <w:trPr>
          <w:cantSplit/>
          <w:tblHeader w:val="false"/>
        </w:trPr>
        <w:tc>
          <w:tcPr>
            <w:tcW w:type="dxa" w:w="1795"/>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Verification latency</w:t>
            </w:r>
          </w:p>
        </w:tc>
        <w:tc>
          <w:tcPr>
            <w:tcW w:type="dxa" w:w="5077"/>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Time from an agent completing a task to a person approving it. Very short times can mean approval without review.</w:t>
            </w:r>
            <w:hyperlink w:history="1" w:anchor="en_60">
              <w:r>
                <w:rPr>
                  <w:rFonts w:ascii="Calibri" w:cs="Calibri" w:eastAsia="Calibri" w:hAnsi="Calibri"/>
                  <w:color w:val="0369A1"/>
                  <w:sz w:val="18"/>
                  <w:szCs w:val="18"/>
                  <w:vertAlign w:val="superscript"/>
                </w:rPr>
                <w:t xml:space="preserve">60</w:t>
              </w:r>
            </w:hyperlink>
          </w:p>
        </w:tc>
        <w:tc>
          <w:tcPr>
            <w:tcW w:type="dxa" w:w="1325"/>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[Baseline]</w:t>
            </w:r>
          </w:p>
        </w:tc>
        <w:tc>
          <w:tcPr>
            <w:tcW w:type="dxa" w:w="1163"/>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[Target]</w:t>
            </w:r>
          </w:p>
        </w:tc>
      </w:tr>
      <w:tr>
        <w:trPr>
          <w:cantSplit/>
          <w:tblHeader w:val="false"/>
        </w:trPr>
        <w:tc>
          <w:tcPr>
            <w:tcW w:type="dxa" w:w="1795"/>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Trained before go-live</w:t>
            </w:r>
          </w:p>
        </w:tc>
        <w:tc>
          <w:tcPr>
            <w:tcW w:type="dxa" w:w="5077"/>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Share of approvers, sponsors and users trained before their slice goes live</w:t>
            </w:r>
          </w:p>
        </w:tc>
        <w:tc>
          <w:tcPr>
            <w:tcW w:type="dxa" w:w="1325"/>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[Baseline]</w:t>
            </w:r>
          </w:p>
        </w:tc>
        <w:tc>
          <w:tcPr>
            <w:tcW w:type="dxa" w:w="1163"/>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[Target]</w:t>
            </w:r>
          </w:p>
        </w:tc>
      </w:tr>
      <w:tr>
        <w:trPr>
          <w:cantSplit/>
          <w:tblHeader w:val="false"/>
        </w:trPr>
        <w:tc>
          <w:tcPr>
            <w:tcW w:type="dxa" w:w="1795"/>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Value per milestone</w:t>
            </w:r>
          </w:p>
        </w:tc>
        <w:tc>
          <w:tcPr>
            <w:tcW w:type="dxa" w:w="5077"/>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Run-rate value delivered against the business case, not the number of users or prompts</w:t>
            </w:r>
            <w:hyperlink w:history="1" w:anchor="en_88">
              <w:r>
                <w:rPr>
                  <w:rFonts w:ascii="Calibri" w:cs="Calibri" w:eastAsia="Calibri" w:hAnsi="Calibri"/>
                  <w:color w:val="0369A1"/>
                  <w:sz w:val="18"/>
                  <w:szCs w:val="18"/>
                  <w:vertAlign w:val="superscript"/>
                </w:rPr>
                <w:t xml:space="preserve">88</w:t>
              </w:r>
            </w:hyperlink>
          </w:p>
        </w:tc>
        <w:tc>
          <w:tcPr>
            <w:tcW w:type="dxa" w:w="1325"/>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[Baseline]</w:t>
            </w:r>
          </w:p>
        </w:tc>
        <w:tc>
          <w:tcPr>
            <w:tcW w:type="dxa" w:w="1163"/>
            <w:tcMar>
              <w:top w:type="dxa" w:w="60"/>
              <w:left w:type="dxa" w:w="100"/>
              <w:bottom w:type="dxa" w:w="60"/>
              <w:right w:type="dxa" w:w="100"/>
            </w:tcMar>
            <w:vAlign w:val="top"/>
          </w:tcPr>
          <w:p>
            <w:pPr>
              <w:spacing w:after="0" w:before="0" w:line="252"/>
            </w:pPr>
            <w:r>
              <w:rPr>
                <w:rFonts w:ascii="Calibri" w:cs="Calibri" w:eastAsia="Calibri" w:hAnsi="Calibri"/>
                <w:i/>
                <w:iCs/>
                <w:color w:val="64748B"/>
                <w:sz w:val="18"/>
                <w:szCs w:val="18"/>
              </w:rPr>
              <w:t xml:space="preserve">[Target]</w:t>
            </w:r>
          </w:p>
        </w:tc>
      </w:tr>
    </w:tbl>
    <w:p>
      <w:pPr>
        <w:spacing w:after="120"/>
      </w:pPr>
    </w:p>
    <w:p>
      <w:pPr>
        <w:pStyle w:val="Heading1"/>
        <w:keepNext/>
        <w:pageBreakBefore/>
      </w:pPr>
      <w:bookmarkStart w:name="part2" w:id="16"/>
      <w:r>
        <w:rPr>
          <w:rFonts w:ascii="Calibri" w:cs="Calibri" w:eastAsia="Calibri" w:hAnsi="Calibri"/>
        </w:rPr>
        <w:t xml:space="preserve">Part 2. Templates filled in for use case 1</w:t>
      </w:r>
      <w:bookmarkEnd w:id="16"/>
    </w:p>
    <w:p>
      <w:pPr>
        <w:spacing w:after="140"/>
      </w:pPr>
      <w:r>
        <w:rPr>
          <w:rFonts w:ascii="Calibri" w:cs="Calibri" w:eastAsia="Calibri" w:hAnsi="Calibri"/>
        </w:rPr>
        <w:t xml:space="preserve">Part 2 fills every template for reference use case 1 from the handbook (</w:t>
      </w:r>
      <w:hyperlink w:history="1" r:id="rIde1ahlsmexum8zwvfifxsm">
        <w:r>
          <w:rPr>
            <w:rFonts w:ascii="Calibri" w:cs="Calibri" w:eastAsia="Calibri" w:hAnsi="Calibri"/>
            <w:color w:val="0369A1"/>
            <w:u w:val="single"/>
          </w:rPr>
          <w:t xml:space="preserve">Section 11</w:t>
        </w:r>
      </w:hyperlink>
      <w:r>
        <w:rPr>
          <w:rFonts w:ascii="Calibri" w:cs="Calibri" w:eastAsia="Calibri" w:hAnsi="Calibri"/>
        </w:rPr>
        <w:t xml:space="preserve">): engagement launch at a global audit, tax and advisory firm. The firm and all its figures are illustrative. Product descriptions come from public information. Each template is followed by a short note on why it is filled the way it is, which is the judgment to carry into your own assessments.</w:t>
      </w:r>
    </w:p>
    <w:tbl>
      <w:tblPr>
        <w:tblW w:type="dxa" w:w="9360"/>
        <w:tblBorders>
          <w:top w:val="single" w:color="CBD5E1" w:sz="4"/>
          <w:left w:val="single" w:color="CBD5E1" w:sz="4"/>
          <w:bottom w:val="single" w:color="CBD5E1" w:sz="4"/>
          <w:right w:val="single" w:color="CBD5E1" w:sz="4"/>
          <w:insideH w:val="single" w:color="CBD5E1" w:sz="4"/>
          <w:insideV w:val="single" w:color="CBD5E1" w:sz="4"/>
        </w:tblBorders>
        <w:tblLayout w:type="fixed"/>
      </w:tblPr>
      <w:tblGrid>
        <w:gridCol w:w="1811"/>
        <w:gridCol w:w="7549"/>
      </w:tblGrid>
      <w:tr>
        <w:trPr>
          <w:cantSplit/>
          <w:tblHeader w:val="false"/>
        </w:trPr>
        <w:tc>
          <w:tcPr>
            <w:tcW w:type="dxa" w:w="1811"/>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Client</w:t>
            </w:r>
          </w:p>
        </w:tc>
        <w:tc>
          <w:tcPr>
            <w:tcW w:type="dxa" w:w="7549"/>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 global audit, tax and advisory firm (illustrative)</w:t>
            </w:r>
          </w:p>
        </w:tc>
      </w:tr>
      <w:tr>
        <w:trPr>
          <w:cantSplit/>
          <w:tblHeader w:val="false"/>
        </w:trPr>
        <w:tc>
          <w:tcPr>
            <w:tcW w:type="dxa" w:w="1811"/>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Use case</w:t>
            </w:r>
          </w:p>
        </w:tc>
        <w:tc>
          <w:tcPr>
            <w:tcW w:type="dxa" w:w="7549"/>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Engagement launch: from verbal win to ready-to-charge</w:t>
            </w:r>
          </w:p>
        </w:tc>
      </w:tr>
      <w:tr>
        <w:trPr>
          <w:cantSplit/>
          <w:tblHeader w:val="false"/>
        </w:trPr>
        <w:tc>
          <w:tcPr>
            <w:tcW w:type="dxa" w:w="1811"/>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Assessment</w:t>
            </w:r>
          </w:p>
        </w:tc>
        <w:tc>
          <w:tcPr>
            <w:tcW w:type="dxa" w:w="7549"/>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Five weeks, eight workshops (</w:t>
            </w:r>
            <w:hyperlink w:history="1" r:id="rIdieq0xe3km2wqbhkqzvceo">
              <w:r>
                <w:rPr>
                  <w:rFonts w:ascii="Calibri" w:cs="Calibri" w:eastAsia="Calibri" w:hAnsi="Calibri"/>
                  <w:color w:val="0369A1"/>
                  <w:sz w:val="18"/>
                  <w:szCs w:val="18"/>
                  <w:u w:val="single"/>
                </w:rPr>
                <w:t xml:space="preserve">Appendix B</w:t>
              </w:r>
            </w:hyperlink>
            <w:r>
              <w:rPr>
                <w:rFonts w:ascii="Calibri" w:cs="Calibri" w:eastAsia="Calibri" w:hAnsi="Calibri"/>
                <w:sz w:val="18"/>
                <w:szCs w:val="18"/>
              </w:rPr>
              <w:t xml:space="preserve">) and a readout to the managing partner for operations and the leadership team (illustrative)</w:t>
            </w:r>
          </w:p>
        </w:tc>
      </w:tr>
      <w:tr>
        <w:trPr>
          <w:cantSplit/>
          <w:tblHeader w:val="false"/>
        </w:trPr>
        <w:tc>
          <w:tcPr>
            <w:tcW w:type="dxa" w:w="1811"/>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Volumes and rates</w:t>
            </w:r>
          </w:p>
        </w:tc>
        <w:tc>
          <w:tcPr>
            <w:tcW w:type="dxa" w:w="7549"/>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10,000 engagement launches a year, $120 an hour loaded cost, $200 an hour average rate and 5,000 client-facing staff working 1,800 hours a year (illustrative)</w:t>
            </w:r>
          </w:p>
        </w:tc>
      </w:tr>
    </w:tbl>
    <w:p>
      <w:pPr>
        <w:spacing w:after="120"/>
      </w:pPr>
    </w:p>
    <w:p>
      <w:pPr>
        <w:pStyle w:val="Heading2"/>
        <w:keepNext/>
        <w:pageBreakBefore/>
      </w:pPr>
      <w:bookmarkStart w:name="p2_T1" w:id="17"/>
      <w:r>
        <w:rPr>
          <w:rFonts w:ascii="Calibri" w:cs="Calibri" w:eastAsia="Calibri" w:hAnsi="Calibri"/>
        </w:rPr>
        <w:t xml:space="preserve">T1 filled: use case at a glance</w:t>
      </w:r>
      <w:bookmarkEnd w:id="17"/>
    </w:p>
    <w:tbl>
      <w:tblPr>
        <w:tblW w:type="dxa" w:w="9360"/>
        <w:tblBorders>
          <w:top w:val="single" w:color="CBD5E1" w:sz="4"/>
          <w:left w:val="single" w:color="CBD5E1" w:sz="4"/>
          <w:bottom w:val="single" w:color="CBD5E1" w:sz="4"/>
          <w:right w:val="single" w:color="CBD5E1" w:sz="4"/>
          <w:insideH w:val="single" w:color="CBD5E1" w:sz="4"/>
          <w:insideV w:val="single" w:color="CBD5E1" w:sz="4"/>
        </w:tblBorders>
        <w:tblLayout w:type="fixed"/>
      </w:tblPr>
      <w:tblGrid>
        <w:gridCol w:w="1255"/>
        <w:gridCol w:w="8105"/>
      </w:tblGrid>
      <w:tr>
        <w:trPr>
          <w:cantSplit/>
          <w:tblHeader w:val="false"/>
        </w:trPr>
        <w:tc>
          <w:tcPr>
            <w:tcW w:type="dxa" w:w="1255"/>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Use case</w:t>
            </w:r>
          </w:p>
        </w:tc>
        <w:tc>
          <w:tcPr>
            <w:tcW w:type="dxa" w:w="8105"/>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Engagement launch: from verbal win to ready-to-charge</w:t>
            </w:r>
          </w:p>
        </w:tc>
      </w:tr>
      <w:tr>
        <w:trPr>
          <w:cantSplit/>
          <w:tblHeader w:val="false"/>
        </w:trPr>
        <w:tc>
          <w:tcPr>
            <w:tcW w:type="dxa" w:w="1255"/>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Problem today</w:t>
            </w:r>
          </w:p>
        </w:tc>
        <w:tc>
          <w:tcPr>
            <w:tcW w:type="dxa" w:w="8105"/>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Between a verbal win and the first chargeable hour sits a chain of manual, risk-sensitive steps: resolving the legal entity, checking conflicts and auditor independence, drafting the letter, pricing, staffing, and creating the SAP project and billing plan. Each step lives in a different system and is owned by a different function, so the chain takes days to weeks. People wait on the bench, early work goes unbilled, and a missed affiliate can become an independence breach.</w:t>
            </w:r>
            <w:hyperlink w:history="1" w:anchor="en_89">
              <w:r>
                <w:rPr>
                  <w:rFonts w:ascii="Calibri" w:cs="Calibri" w:eastAsia="Calibri" w:hAnsi="Calibri"/>
                  <w:color w:val="0369A1"/>
                  <w:sz w:val="18"/>
                  <w:szCs w:val="18"/>
                  <w:vertAlign w:val="superscript"/>
                </w:rPr>
                <w:t xml:space="preserve">89</w:t>
              </w:r>
            </w:hyperlink>
          </w:p>
        </w:tc>
      </w:tr>
      <w:tr>
        <w:trPr>
          <w:cantSplit/>
          <w:tblHeader w:val="false"/>
        </w:trPr>
        <w:tc>
          <w:tcPr>
            <w:tcW w:type="dxa" w:w="1255"/>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Target state</w:t>
            </w:r>
          </w:p>
        </w:tc>
        <w:tc>
          <w:tcPr>
            <w:tcW w:type="dxa" w:w="8105"/>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An Engagement Launch Orchestrator coordinates six specialist agents across the CRM, the independence system, document management, Workday, SAP S/4HANA and Snowflake. People keep every judgment that carries professional or regulatory accountability. Agents assemble, check, draft and update, and the control plane makes every step governed, observable and auditable.</w:t>
            </w:r>
          </w:p>
        </w:tc>
      </w:tr>
      <w:tr>
        <w:trPr>
          <w:cantSplit/>
          <w:tblHeader w:val="false"/>
        </w:trPr>
        <w:tc>
          <w:tcPr>
            <w:tcW w:type="dxa" w:w="1255"/>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Trigger</w:t>
            </w:r>
          </w:p>
        </w:tc>
        <w:tc>
          <w:tcPr>
            <w:tcW w:type="dxa" w:w="8105"/>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An opportunity reaches verbal win in the CRM</w:t>
            </w:r>
          </w:p>
        </w:tc>
      </w:tr>
      <w:tr>
        <w:trPr>
          <w:cantSplit/>
          <w:tblHeader w:val="false"/>
        </w:trPr>
        <w:tc>
          <w:tcPr>
            <w:tcW w:type="dxa" w:w="1255"/>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End state</w:t>
            </w:r>
          </w:p>
        </w:tc>
        <w:tc>
          <w:tcPr>
            <w:tcW w:type="dxa" w:w="8105"/>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Independence cleared and documented, engagement letter signed, team soft-booked, and the SAP project, WBS, billing plan and charge codes active</w:t>
            </w:r>
          </w:p>
        </w:tc>
      </w:tr>
      <w:tr>
        <w:trPr>
          <w:cantSplit/>
          <w:tblHeader w:val="false"/>
        </w:trPr>
        <w:tc>
          <w:tcPr>
            <w:tcW w:type="dxa" w:w="1255"/>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Users</w:t>
            </w:r>
          </w:p>
        </w:tc>
        <w:tc>
          <w:tcPr>
            <w:tcW w:type="dxa" w:w="8105"/>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Engagement managers and partners, Risk &amp; Quality (independence reviewers), resource management and finance</w:t>
            </w:r>
          </w:p>
        </w:tc>
      </w:tr>
      <w:tr>
        <w:trPr>
          <w:cantSplit/>
          <w:tblHeader w:val="false"/>
        </w:trPr>
        <w:tc>
          <w:tcPr>
            <w:tcW w:type="dxa" w:w="1255"/>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Systems of record</w:t>
            </w:r>
          </w:p>
        </w:tc>
        <w:tc>
          <w:tcPr>
            <w:tcW w:type="dxa" w:w="8105"/>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CRM</w:t>
            </w:r>
          </w:p>
          <w:p>
            <w:pPr>
              <w:spacing w:after="80" w:before="0" w:line="252"/>
            </w:pPr>
            <w:r>
              <w:rPr>
                <w:rFonts w:ascii="Calibri" w:cs="Calibri" w:eastAsia="Calibri" w:hAnsi="Calibri"/>
                <w:sz w:val="18"/>
                <w:szCs w:val="18"/>
              </w:rPr>
              <w:t xml:space="preserve">Independence and conflicts system</w:t>
            </w:r>
          </w:p>
          <w:p>
            <w:pPr>
              <w:spacing w:after="80" w:before="0" w:line="252"/>
            </w:pPr>
            <w:r>
              <w:rPr>
                <w:rFonts w:ascii="Calibri" w:cs="Calibri" w:eastAsia="Calibri" w:hAnsi="Calibri"/>
                <w:sz w:val="18"/>
                <w:szCs w:val="18"/>
              </w:rPr>
              <w:t xml:space="preserve">Document management and e-signature</w:t>
            </w:r>
          </w:p>
          <w:p>
            <w:pPr>
              <w:spacing w:after="80" w:before="0" w:line="252"/>
            </w:pPr>
            <w:r>
              <w:rPr>
                <w:rFonts w:ascii="Calibri" w:cs="Calibri" w:eastAsia="Calibri" w:hAnsi="Calibri"/>
                <w:sz w:val="18"/>
                <w:szCs w:val="18"/>
              </w:rPr>
              <w:t xml:space="preserve">Workday HCM</w:t>
            </w:r>
          </w:p>
          <w:p>
            <w:pPr>
              <w:spacing w:after="80" w:before="0" w:line="252"/>
            </w:pPr>
            <w:r>
              <w:rPr>
                <w:rFonts w:ascii="Calibri" w:cs="Calibri" w:eastAsia="Calibri" w:hAnsi="Calibri"/>
                <w:sz w:val="18"/>
                <w:szCs w:val="18"/>
              </w:rPr>
              <w:t xml:space="preserve">SAP S/4HANA</w:t>
            </w:r>
          </w:p>
          <w:p>
            <w:pPr>
              <w:spacing w:after="0" w:before="0" w:line="252"/>
            </w:pPr>
            <w:r>
              <w:rPr>
                <w:rFonts w:ascii="Calibri" w:cs="Calibri" w:eastAsia="Calibri" w:hAnsi="Calibri"/>
                <w:sz w:val="18"/>
                <w:szCs w:val="18"/>
              </w:rPr>
              <w:t xml:space="preserve">Snowflake</w:t>
            </w:r>
          </w:p>
        </w:tc>
      </w:tr>
      <w:tr>
        <w:trPr>
          <w:cantSplit/>
          <w:tblHeader w:val="false"/>
        </w:trPr>
        <w:tc>
          <w:tcPr>
            <w:tcW w:type="dxa" w:w="1255"/>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Out of scope</w:t>
            </w:r>
          </w:p>
        </w:tc>
        <w:tc>
          <w:tcPr>
            <w:tcW w:type="dxa" w:w="8105"/>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Delivery of the engagement itself and invoicing after launch</w:t>
            </w:r>
          </w:p>
        </w:tc>
      </w:tr>
    </w:tbl>
    <w:p>
      <w:pPr>
        <w:spacing w:after="120"/>
      </w:pPr>
    </w:p>
    <w:p>
      <w:pPr>
        <w:pStyle w:val="Heading3"/>
        <w:keepNext/>
      </w:pPr>
      <w:r>
        <w:rPr>
          <w:rFonts w:ascii="Calibri" w:cs="Calibri" w:eastAsia="Calibri" w:hAnsi="Calibri"/>
        </w:rPr>
        <w:t xml:space="preserve">Stages</w:t>
      </w:r>
    </w:p>
    <w:tbl>
      <w:tblPr>
        <w:tblW w:type="dxa" w:w="9360"/>
        <w:tblBorders>
          <w:top w:val="single" w:color="CBD5E1" w:sz="4"/>
          <w:left w:val="single" w:color="CBD5E1" w:sz="4"/>
          <w:bottom w:val="single" w:color="CBD5E1" w:sz="4"/>
          <w:right w:val="single" w:color="CBD5E1" w:sz="4"/>
          <w:insideH w:val="single" w:color="CBD5E1" w:sz="4"/>
          <w:insideV w:val="single" w:color="CBD5E1" w:sz="4"/>
        </w:tblBorders>
        <w:tblLayout w:type="fixed"/>
      </w:tblPr>
      <w:tblGrid>
        <w:gridCol w:w="1248"/>
        <w:gridCol w:w="1541"/>
        <w:gridCol w:w="2934"/>
        <w:gridCol w:w="2195"/>
        <w:gridCol w:w="1442"/>
      </w:tblGrid>
      <w:tr>
        <w:trPr>
          <w:cantSplit/>
          <w:tblHeader/>
        </w:trPr>
        <w:tc>
          <w:tcPr>
            <w:tcW w:type="dxa" w:w="1248"/>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Stage</w:t>
            </w:r>
          </w:p>
        </w:tc>
        <w:tc>
          <w:tcPr>
            <w:tcW w:type="dxa" w:w="1541"/>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Human step</w:t>
            </w:r>
          </w:p>
        </w:tc>
        <w:tc>
          <w:tcPr>
            <w:tcW w:type="dxa" w:w="2934"/>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Work mode</w:t>
            </w:r>
          </w:p>
        </w:tc>
        <w:tc>
          <w:tcPr>
            <w:tcW w:type="dxa" w:w="2195"/>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Agent and tier</w:t>
            </w:r>
          </w:p>
        </w:tc>
        <w:tc>
          <w:tcPr>
            <w:tcW w:type="dxa" w:w="1442"/>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System of record</w:t>
            </w:r>
          </w:p>
        </w:tc>
      </w:tr>
      <w:tr>
        <w:trPr>
          <w:cantSplit/>
          <w:tblHeader w:val="false"/>
        </w:trPr>
        <w:tc>
          <w:tcPr>
            <w:tcW w:type="dxa" w:w="1248"/>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Verbal win</w:t>
            </w:r>
          </w:p>
        </w:tc>
        <w:tc>
          <w:tcPr>
            <w:tcW w:type="dxa" w:w="1541"/>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Manager sees the launch plan</w:t>
            </w:r>
          </w:p>
        </w:tc>
        <w:tc>
          <w:tcPr>
            <w:tcW w:type="dxa" w:w="2934"/>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AI-led: planning and tracking</w:t>
            </w:r>
          </w:p>
        </w:tc>
        <w:tc>
          <w:tcPr>
            <w:tcW w:type="dxa" w:w="2195"/>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Launch Orchestrator (Tier 2)</w:t>
            </w:r>
          </w:p>
        </w:tc>
        <w:tc>
          <w:tcPr>
            <w:tcW w:type="dxa" w:w="1442"/>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CRM</w:t>
            </w:r>
          </w:p>
        </w:tc>
      </w:tr>
      <w:tr>
        <w:trPr>
          <w:cantSplit/>
          <w:tblHeader w:val="false"/>
        </w:trPr>
        <w:tc>
          <w:tcPr>
            <w:tcW w:type="dxa" w:w="1248"/>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Accept client</w:t>
            </w:r>
          </w:p>
        </w:tc>
        <w:tc>
          <w:tcPr>
            <w:tcW w:type="dxa" w:w="1541"/>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None</w:t>
            </w:r>
          </w:p>
        </w:tc>
        <w:tc>
          <w:tcPr>
            <w:tcW w:type="dxa" w:w="2934"/>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AI-led, read-only: matching to the golden record</w:t>
            </w:r>
          </w:p>
        </w:tc>
        <w:tc>
          <w:tcPr>
            <w:tcW w:type="dxa" w:w="2195"/>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Entity Resolution (Tier 2, read-only)</w:t>
            </w:r>
          </w:p>
        </w:tc>
        <w:tc>
          <w:tcPr>
            <w:tcW w:type="dxa" w:w="1442"/>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Client master (MDM)</w:t>
            </w:r>
          </w:p>
        </w:tc>
      </w:tr>
      <w:tr>
        <w:trPr>
          <w:cantSplit/>
          <w:tblHeader w:val="false"/>
        </w:trPr>
        <w:tc>
          <w:tcPr>
            <w:tcW w:type="dxa" w:w="1248"/>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Risk clearance</w:t>
            </w:r>
          </w:p>
        </w:tc>
        <w:tc>
          <w:tcPr>
            <w:tcW w:type="dxa" w:w="1541"/>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Risk decides</w:t>
            </w:r>
          </w:p>
        </w:tc>
        <w:tc>
          <w:tcPr>
            <w:tcW w:type="dxa" w:w="2934"/>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Human-led: independence is a regulated professional judgment</w:t>
            </w:r>
          </w:p>
        </w:tc>
        <w:tc>
          <w:tcPr>
            <w:tcW w:type="dxa" w:w="2195"/>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Conflicts &amp; Independence (Tier 1)</w:t>
            </w:r>
          </w:p>
        </w:tc>
        <w:tc>
          <w:tcPr>
            <w:tcW w:type="dxa" w:w="1442"/>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Independence system</w:t>
            </w:r>
          </w:p>
        </w:tc>
      </w:tr>
      <w:tr>
        <w:trPr>
          <w:cantSplit/>
          <w:tblHeader w:val="false"/>
        </w:trPr>
        <w:tc>
          <w:tcPr>
            <w:tcW w:type="dxa" w:w="1248"/>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Scope and price</w:t>
            </w:r>
          </w:p>
        </w:tc>
        <w:tc>
          <w:tcPr>
            <w:tcW w:type="dxa" w:w="1541"/>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Manager edits the letter</w:t>
            </w:r>
          </w:p>
        </w:tc>
        <w:tc>
          <w:tcPr>
            <w:tcW w:type="dxa" w:w="2934"/>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AI-assisted: agents draft, and the manager edits and accepts</w:t>
            </w:r>
          </w:p>
        </w:tc>
        <w:tc>
          <w:tcPr>
            <w:tcW w:type="dxa" w:w="2195"/>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Scoping &amp; Letter and Pricing &amp; Budget (Tiers 1–2)</w:t>
            </w:r>
          </w:p>
        </w:tc>
        <w:tc>
          <w:tcPr>
            <w:tcW w:type="dxa" w:w="1442"/>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DMS</w:t>
            </w:r>
          </w:p>
          <w:p>
            <w:pPr>
              <w:spacing w:after="80" w:before="0" w:line="252"/>
            </w:pPr>
            <w:r>
              <w:rPr>
                <w:rFonts w:ascii="Calibri" w:cs="Calibri" w:eastAsia="Calibri" w:hAnsi="Calibri"/>
                <w:sz w:val="18"/>
                <w:szCs w:val="18"/>
              </w:rPr>
              <w:t xml:space="preserve">SAP S/4HANA</w:t>
            </w:r>
          </w:p>
          <w:p>
            <w:pPr>
              <w:spacing w:after="0" w:before="0" w:line="252"/>
            </w:pPr>
            <w:r>
              <w:rPr>
                <w:rFonts w:ascii="Calibri" w:cs="Calibri" w:eastAsia="Calibri" w:hAnsi="Calibri"/>
                <w:sz w:val="18"/>
                <w:szCs w:val="18"/>
              </w:rPr>
              <w:t xml:space="preserve">Snowflake</w:t>
            </w:r>
          </w:p>
        </w:tc>
      </w:tr>
      <w:tr>
        <w:trPr>
          <w:cantSplit/>
          <w:tblHeader w:val="false"/>
        </w:trPr>
        <w:tc>
          <w:tcPr>
            <w:tcW w:type="dxa" w:w="1248"/>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Staff team</w:t>
            </w:r>
          </w:p>
        </w:tc>
        <w:tc>
          <w:tcPr>
            <w:tcW w:type="dxa" w:w="1541"/>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Manager confirms</w:t>
            </w:r>
          </w:p>
        </w:tc>
        <w:tc>
          <w:tcPr>
            <w:tcW w:type="dxa" w:w="2934"/>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AI-assisted: the agent proposes and the manager confirms</w:t>
            </w:r>
          </w:p>
        </w:tc>
        <w:tc>
          <w:tcPr>
            <w:tcW w:type="dxa" w:w="2195"/>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Staffing (Tier 2)</w:t>
            </w:r>
          </w:p>
        </w:tc>
        <w:tc>
          <w:tcPr>
            <w:tcW w:type="dxa" w:w="1442"/>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Workday HCM</w:t>
            </w:r>
          </w:p>
        </w:tc>
      </w:tr>
      <w:tr>
        <w:trPr>
          <w:cantSplit/>
          <w:tblHeader w:val="false"/>
        </w:trPr>
        <w:tc>
          <w:tcPr>
            <w:tcW w:type="dxa" w:w="1248"/>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Approve and set up</w:t>
            </w:r>
          </w:p>
        </w:tc>
        <w:tc>
          <w:tcPr>
            <w:tcW w:type="dxa" w:w="1541"/>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Partner approves</w:t>
            </w:r>
          </w:p>
          <w:p>
            <w:pPr>
              <w:spacing w:after="0" w:before="0" w:line="252"/>
            </w:pPr>
            <w:r>
              <w:rPr>
                <w:rFonts w:ascii="Calibri" w:cs="Calibri" w:eastAsia="Calibri" w:hAnsi="Calibri"/>
                <w:sz w:val="18"/>
                <w:szCs w:val="18"/>
              </w:rPr>
              <w:t xml:space="preserve">Client signs</w:t>
            </w:r>
          </w:p>
        </w:tc>
        <w:tc>
          <w:tcPr>
            <w:tcW w:type="dxa" w:w="2934"/>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Human-led approval, then AI-led setup under the bound approval</w:t>
            </w:r>
          </w:p>
        </w:tc>
        <w:tc>
          <w:tcPr>
            <w:tcW w:type="dxa" w:w="2195"/>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Engagement Setup (Tier 3, gated)</w:t>
            </w:r>
          </w:p>
        </w:tc>
        <w:tc>
          <w:tcPr>
            <w:tcW w:type="dxa" w:w="1442"/>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SAP S/4HANA</w:t>
            </w:r>
          </w:p>
        </w:tc>
      </w:tr>
    </w:tbl>
    <w:p>
      <w:pPr>
        <w:spacing w:after="120"/>
      </w:pPr>
    </w:p>
    <w:p>
      <w:pPr>
        <w:pStyle w:val="Heading3"/>
        <w:keepNext/>
      </w:pPr>
      <w:r>
        <w:rPr>
          <w:rFonts w:ascii="Calibri" w:cs="Calibri" w:eastAsia="Calibri" w:hAnsi="Calibri"/>
        </w:rPr>
        <w:t xml:space="preserve">Goals</w:t>
      </w:r>
    </w:p>
    <w:tbl>
      <w:tblPr>
        <w:tblW w:type="dxa" w:w="9360"/>
        <w:tblBorders>
          <w:top w:val="single" w:color="CBD5E1" w:sz="4"/>
          <w:left w:val="single" w:color="CBD5E1" w:sz="4"/>
          <w:bottom w:val="single" w:color="CBD5E1" w:sz="4"/>
          <w:right w:val="single" w:color="CBD5E1" w:sz="4"/>
          <w:insideH w:val="single" w:color="CBD5E1" w:sz="4"/>
          <w:insideV w:val="single" w:color="CBD5E1" w:sz="4"/>
        </w:tblBorders>
        <w:tblLayout w:type="fixed"/>
      </w:tblPr>
      <w:tblGrid>
        <w:gridCol w:w="5350"/>
        <w:gridCol w:w="1225"/>
        <w:gridCol w:w="2785"/>
      </w:tblGrid>
      <w:tr>
        <w:trPr>
          <w:cantSplit/>
          <w:tblHeader/>
        </w:trPr>
        <w:tc>
          <w:tcPr>
            <w:tcW w:type="dxa" w:w="5350"/>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Goal</w:t>
            </w:r>
          </w:p>
        </w:tc>
        <w:tc>
          <w:tcPr>
            <w:tcW w:type="dxa" w:w="1225"/>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Type</w:t>
            </w:r>
          </w:p>
        </w:tc>
        <w:tc>
          <w:tcPr>
            <w:tcW w:type="dxa" w:w="2785"/>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Measured by</w:t>
            </w:r>
          </w:p>
        </w:tc>
      </w:tr>
      <w:tr>
        <w:trPr>
          <w:cantSplit/>
          <w:tblHeader w:val="false"/>
        </w:trPr>
        <w:tc>
          <w:tcPr>
            <w:tcW w:type="dxa" w:w="535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Faster time to revenue: verbal win to ready-to-charge in about two business days</w:t>
            </w:r>
          </w:p>
        </w:tc>
        <w:tc>
          <w:tcPr>
            <w:tcW w:type="dxa" w:w="1225"/>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Business</w:t>
            </w:r>
          </w:p>
        </w:tc>
        <w:tc>
          <w:tcPr>
            <w:tcW w:type="dxa" w:w="2785"/>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Win-to-ready-to-charge</w:t>
            </w:r>
          </w:p>
        </w:tc>
      </w:tr>
      <w:tr>
        <w:trPr>
          <w:cantSplit/>
          <w:tblHeader w:val="false"/>
        </w:trPr>
        <w:tc>
          <w:tcPr>
            <w:tcW w:type="dxa" w:w="535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Lower cost to launch: Risk, resourcing and finance work exceptions instead of re-keying data</w:t>
            </w:r>
          </w:p>
        </w:tc>
        <w:tc>
          <w:tcPr>
            <w:tcW w:type="dxa" w:w="1225"/>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Business</w:t>
            </w:r>
          </w:p>
        </w:tc>
        <w:tc>
          <w:tcPr>
            <w:tcW w:type="dxa" w:w="2785"/>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Manual effort per launch</w:t>
            </w:r>
          </w:p>
        </w:tc>
      </w:tr>
      <w:tr>
        <w:trPr>
          <w:cantSplit/>
          <w:tblHeader w:val="false"/>
        </w:trPr>
        <w:tc>
          <w:tcPr>
            <w:tcW w:type="dxa" w:w="535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No known independence exceptions at engagement start, with a complete evidence trail for inspections</w:t>
            </w:r>
          </w:p>
        </w:tc>
        <w:tc>
          <w:tcPr>
            <w:tcW w:type="dxa" w:w="1225"/>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Business</w:t>
            </w:r>
          </w:p>
        </w:tc>
        <w:tc>
          <w:tcPr>
            <w:tcW w:type="dxa" w:w="2785"/>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Independence cleared before start</w:t>
            </w:r>
          </w:p>
          <w:p>
            <w:pPr>
              <w:spacing w:after="0" w:before="0" w:line="252"/>
            </w:pPr>
            <w:r>
              <w:rPr>
                <w:rFonts w:ascii="Calibri" w:cs="Calibri" w:eastAsia="Calibri" w:hAnsi="Calibri"/>
                <w:sz w:val="18"/>
                <w:szCs w:val="18"/>
              </w:rPr>
              <w:t xml:space="preserve">Post-start exceptions</w:t>
            </w:r>
          </w:p>
        </w:tc>
      </w:tr>
      <w:tr>
        <w:trPr>
          <w:cantSplit/>
          <w:tblHeader w:val="false"/>
        </w:trPr>
        <w:tc>
          <w:tcPr>
            <w:tcW w:type="dxa" w:w="535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 better client experience (engagement letter the same day) and staff experience (clear assignments, fewer chasers)</w:t>
            </w:r>
          </w:p>
        </w:tc>
        <w:tc>
          <w:tcPr>
            <w:tcW w:type="dxa" w:w="1225"/>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Business</w:t>
            </w:r>
          </w:p>
        </w:tc>
        <w:tc>
          <w:tcPr>
            <w:tcW w:type="dxa" w:w="2785"/>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Staffing within 48 hours</w:t>
            </w:r>
          </w:p>
        </w:tc>
      </w:tr>
      <w:tr>
        <w:trPr>
          <w:cantSplit/>
          <w:tblHeader w:val="false"/>
        </w:trPr>
        <w:tc>
          <w:tcPr>
            <w:tcW w:type="dxa" w:w="535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Every model and tool call governed by one control plane, with AI cost per launch within its target</w:t>
            </w:r>
          </w:p>
        </w:tc>
        <w:tc>
          <w:tcPr>
            <w:tcW w:type="dxa" w:w="1225"/>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Control plane</w:t>
            </w:r>
          </w:p>
        </w:tc>
        <w:tc>
          <w:tcPr>
            <w:tcW w:type="dxa" w:w="2785"/>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Governed AI traffic</w:t>
            </w:r>
          </w:p>
          <w:p>
            <w:pPr>
              <w:spacing w:after="80" w:before="0" w:line="252"/>
            </w:pPr>
            <w:r>
              <w:rPr>
                <w:rFonts w:ascii="Calibri" w:cs="Calibri" w:eastAsia="Calibri" w:hAnsi="Calibri"/>
                <w:sz w:val="18"/>
                <w:szCs w:val="18"/>
              </w:rPr>
              <w:t xml:space="preserve">AI cost per launch</w:t>
            </w:r>
          </w:p>
          <w:p>
            <w:pPr>
              <w:spacing w:after="0" w:before="0" w:line="252"/>
            </w:pPr>
            <w:r>
              <w:rPr>
                <w:rFonts w:ascii="Calibri" w:cs="Calibri" w:eastAsia="Calibri" w:hAnsi="Calibri"/>
                <w:sz w:val="18"/>
                <w:szCs w:val="18"/>
              </w:rPr>
              <w:t xml:space="preserve">Agent quality</w:t>
            </w:r>
          </w:p>
        </w:tc>
      </w:tr>
    </w:tbl>
    <w:p>
      <w:pPr>
        <w:spacing w:after="120"/>
      </w:pPr>
    </w:p>
    <w:p>
      <w:pPr>
        <w:pStyle w:val="Heading3"/>
        <w:keepNext/>
      </w:pPr>
      <w:r>
        <w:rPr>
          <w:rFonts w:ascii="Calibri" w:cs="Calibri" w:eastAsia="Calibri" w:hAnsi="Calibri"/>
        </w:rPr>
        <w:t xml:space="preserve">Selection scores</w:t>
      </w:r>
    </w:p>
    <w:tbl>
      <w:tblPr>
        <w:tblW w:type="dxa" w:w="9360"/>
        <w:tblBorders>
          <w:top w:val="single" w:color="CBD5E1" w:sz="4"/>
          <w:left w:val="single" w:color="CBD5E1" w:sz="4"/>
          <w:bottom w:val="single" w:color="CBD5E1" w:sz="4"/>
          <w:right w:val="single" w:color="CBD5E1" w:sz="4"/>
          <w:insideH w:val="single" w:color="CBD5E1" w:sz="4"/>
          <w:insideV w:val="single" w:color="CBD5E1" w:sz="4"/>
        </w:tblBorders>
        <w:tblLayout w:type="fixed"/>
      </w:tblPr>
      <w:tblGrid>
        <w:gridCol w:w="2462"/>
        <w:gridCol w:w="842"/>
        <w:gridCol w:w="6056"/>
      </w:tblGrid>
      <w:tr>
        <w:trPr>
          <w:cantSplit/>
          <w:tblHeader/>
        </w:trPr>
        <w:tc>
          <w:tcPr>
            <w:tcW w:type="dxa" w:w="2462"/>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Criterion</w:t>
            </w:r>
          </w:p>
        </w:tc>
        <w:tc>
          <w:tcPr>
            <w:tcW w:type="dxa" w:w="842"/>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Score (1–5)</w:t>
            </w:r>
          </w:p>
        </w:tc>
        <w:tc>
          <w:tcPr>
            <w:tcW w:type="dxa" w:w="6056"/>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Evidence</w:t>
            </w:r>
          </w:p>
        </w:tc>
      </w:tr>
      <w:tr>
        <w:trPr>
          <w:cantSplit/>
          <w:tblHeader w:val="false"/>
        </w:trPr>
        <w:tc>
          <w:tcPr>
            <w:tcW w:type="dxa" w:w="2462"/>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Value at stake</w:t>
            </w:r>
          </w:p>
        </w:tc>
        <w:tc>
          <w:tcPr>
            <w:tcW w:type="dxa" w:w="842"/>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5</w:t>
            </w:r>
          </w:p>
        </w:tc>
        <w:tc>
          <w:tcPr>
            <w:tcW w:type="dxa" w:w="6056"/>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10,000 launches a year, with about $30M a year at stake (T2)</w:t>
            </w:r>
          </w:p>
        </w:tc>
      </w:tr>
      <w:tr>
        <w:trPr>
          <w:cantSplit/>
          <w:tblHeader w:val="false"/>
        </w:trPr>
        <w:tc>
          <w:tcPr>
            <w:tcW w:type="dxa" w:w="2462"/>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Visible pain</w:t>
            </w:r>
          </w:p>
        </w:tc>
        <w:tc>
          <w:tcPr>
            <w:tcW w:type="dxa" w:w="842"/>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5</w:t>
            </w:r>
          </w:p>
        </w:tc>
        <w:tc>
          <w:tcPr>
            <w:tcW w:type="dxa" w:w="6056"/>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Partners and managers chase status, and early hours go unbilled</w:t>
            </w:r>
          </w:p>
        </w:tc>
      </w:tr>
      <w:tr>
        <w:trPr>
          <w:cantSplit/>
          <w:tblHeader w:val="false"/>
        </w:trPr>
        <w:tc>
          <w:tcPr>
            <w:tcW w:type="dxa" w:w="2462"/>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Reachable systems</w:t>
            </w:r>
          </w:p>
        </w:tc>
        <w:tc>
          <w:tcPr>
            <w:tcW w:type="dxa" w:w="842"/>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4</w:t>
            </w:r>
          </w:p>
        </w:tc>
        <w:tc>
          <w:tcPr>
            <w:tcW w:type="dxa" w:w="6056"/>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SAP, Workday, Snowflake and the CRM have APIs, but the independence system needs a search API</w:t>
            </w:r>
          </w:p>
        </w:tc>
      </w:tr>
      <w:tr>
        <w:trPr>
          <w:cantSplit/>
          <w:tblHeader w:val="false"/>
        </w:trPr>
        <w:tc>
          <w:tcPr>
            <w:tcW w:type="dxa" w:w="2462"/>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Data readiness</w:t>
            </w:r>
          </w:p>
        </w:tc>
        <w:tc>
          <w:tcPr>
            <w:tcW w:type="dxa" w:w="842"/>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3</w:t>
            </w:r>
          </w:p>
        </w:tc>
        <w:tc>
          <w:tcPr>
            <w:tcW w:type="dxa" w:w="6056"/>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Client hierarchy spread across three systems, with stewardship needed first</w:t>
            </w:r>
          </w:p>
        </w:tc>
      </w:tr>
      <w:tr>
        <w:trPr>
          <w:cantSplit/>
          <w:tblHeader w:val="false"/>
        </w:trPr>
        <w:tc>
          <w:tcPr>
            <w:tcW w:type="dxa" w:w="2462"/>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Safe first step</w:t>
            </w:r>
          </w:p>
        </w:tc>
        <w:tc>
          <w:tcPr>
            <w:tcW w:type="dxa" w:w="842"/>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5</w:t>
            </w:r>
          </w:p>
        </w:tc>
        <w:tc>
          <w:tcPr>
            <w:tcW w:type="dxa" w:w="6056"/>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Entity resolution and independence can start read-only, with Risk deciding</w:t>
            </w:r>
          </w:p>
        </w:tc>
      </w:tr>
      <w:tr>
        <w:trPr>
          <w:cantSplit/>
          <w:tblHeader w:val="false"/>
        </w:trPr>
        <w:tc>
          <w:tcPr>
            <w:tcW w:type="dxa" w:w="2462"/>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Measurable in 90 days</w:t>
            </w:r>
          </w:p>
        </w:tc>
        <w:tc>
          <w:tcPr>
            <w:tcW w:type="dxa" w:w="842"/>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4</w:t>
            </w:r>
          </w:p>
        </w:tc>
        <w:tc>
          <w:tcPr>
            <w:tcW w:type="dxa" w:w="6056"/>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Cycle time and effort can be measured in one service line</w:t>
            </w:r>
          </w:p>
        </w:tc>
      </w:tr>
      <w:tr>
        <w:trPr>
          <w:cantSplit/>
          <w:tblHeader w:val="false"/>
        </w:trPr>
        <w:tc>
          <w:tcPr>
            <w:tcW w:type="dxa" w:w="2462"/>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Sponsor and owner</w:t>
            </w:r>
          </w:p>
        </w:tc>
        <w:tc>
          <w:tcPr>
            <w:tcW w:type="dxa" w:w="842"/>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4</w:t>
            </w:r>
          </w:p>
        </w:tc>
        <w:tc>
          <w:tcPr>
            <w:tcW w:type="dxa" w:w="6056"/>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Managing partner for operations sponsors</w:t>
            </w:r>
          </w:p>
          <w:p>
            <w:pPr>
              <w:spacing w:after="0" w:before="0" w:line="252"/>
            </w:pPr>
            <w:r>
              <w:rPr>
                <w:rFonts w:ascii="Calibri" w:cs="Calibri" w:eastAsia="Calibri" w:hAnsi="Calibri"/>
                <w:sz w:val="18"/>
                <w:szCs w:val="18"/>
              </w:rPr>
              <w:t xml:space="preserve">Head of practice operations owns</w:t>
            </w:r>
          </w:p>
        </w:tc>
      </w:tr>
      <w:tr>
        <w:trPr>
          <w:cantSplit/>
          <w:tblHeader w:val="false"/>
        </w:trPr>
        <w:tc>
          <w:tcPr>
            <w:tcW w:type="dxa" w:w="2462"/>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Total (out of 35)</w:t>
            </w:r>
          </w:p>
        </w:tc>
        <w:tc>
          <w:tcPr>
            <w:tcW w:type="dxa" w:w="842"/>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30</w:t>
            </w:r>
          </w:p>
        </w:tc>
        <w:tc>
          <w:tcPr>
            <w:tcW w:type="dxa" w:w="6056"/>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Strong first use case</w:t>
            </w:r>
          </w:p>
        </w:tc>
      </w:tr>
    </w:tbl>
    <w:p>
      <w:pPr>
        <w:spacing w:after="120"/>
      </w:pPr>
    </w:p>
    <w:p>
      <w:pPr>
        <w:keepNext/>
        <w:spacing w:after="60" w:before="120" w:line="240" w:lineRule="auto"/>
        <w:jc w:val="center"/>
      </w:pPr>
      <w:r>
        <w:drawing>
          <wp:inline distT="0" distB="0" distL="0" distR="0">
            <wp:extent cx="5943600" cy="3686175"/>
            <wp:effectExtent t="0" r="0" b="0" l="0"/>
            <wp:docPr id="5" name="Figure 9" descr="Use case 1 at a glance" title="Fig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 descr=""/>
                    <pic:cNvPicPr>
                      <a:picLocks noChangeAspect="1" noChangeArrowheads="1"/>
                    </pic:cNvPicPr>
                  </pic:nvPicPr>
                  <pic:blipFill>
                    <a:blip r:embed="rId15" cstate="none"/>
                    <a:srcRect/>
                    <a:stretch>
                      <a:fillRect/>
                    </a:stretch>
                  </pic:blipFill>
                  <pic:spPr bwMode="auto">
                    <a:xfrm>
                      <a:off x="0" y="0"/>
                      <a:ext cx="5943600" cy="3686175"/>
                    </a:xfrm>
                    <a:prstGeom prst="rect">
                      <a:avLst/>
                    </a:prstGeom>
                  </pic:spPr>
                </pic:pic>
              </a:graphicData>
            </a:graphic>
          </wp:inline>
        </w:drawing>
      </w:r>
    </w:p>
    <w:p>
      <w:pPr>
        <w:spacing w:after="240"/>
      </w:pPr>
      <w:r>
        <w:rPr>
          <w:rFonts w:ascii="Calibri" w:cs="Calibri" w:eastAsia="Calibri" w:hAnsi="Calibri"/>
          <w:i/>
          <w:iCs/>
          <w:color w:val="64748B"/>
          <w:sz w:val="18"/>
          <w:szCs w:val="18"/>
        </w:rPr>
        <w:t xml:space="preserve">Figure 9. Use case 1 at a glance: the launch stages, the agent and human step in each, and the governed path to each system of record (handbook </w:t>
      </w:r>
      <w:hyperlink w:history="1" r:id="rIdp6z1qk_h8vcxvpyddq-kh">
        <w:r>
          <w:rPr>
            <w:rFonts w:ascii="Calibri" w:cs="Calibri" w:eastAsia="Calibri" w:hAnsi="Calibri"/>
            <w:i/>
            <w:iCs/>
            <w:color w:val="0369A1"/>
            <w:sz w:val="18"/>
            <w:szCs w:val="18"/>
            <w:u w:val="single"/>
          </w:rPr>
          <w:t xml:space="preserve">Figure 8</w:t>
        </w:r>
      </w:hyperlink>
      <w:r>
        <w:rPr>
          <w:rFonts w:ascii="Calibri" w:cs="Calibri" w:eastAsia="Calibri" w:hAnsi="Calibri"/>
          <w:i/>
          <w:iCs/>
          <w:color w:val="64748B"/>
          <w:sz w:val="18"/>
          <w:szCs w:val="18"/>
        </w:rPr>
        <w:t xml:space="preserve">).</w:t>
      </w:r>
    </w:p>
    <w:tbl>
      <w:tblPr>
        <w:tblW w:type="dxa" w:w="9360"/>
        <w:tblBorders>
          <w:top w:val="single" w:color="CBD5E1" w:sz="4"/>
          <w:left w:val="single" w:color="CBD5E1" w:sz="4"/>
          <w:bottom w:val="single" w:color="CBD5E1" w:sz="4"/>
          <w:right w:val="single" w:color="CBD5E1" w:sz="4"/>
          <w:insideH w:val="single" w:color="CBD5E1" w:sz="4"/>
          <w:insideV w:val="single" w:color="CBD5E1" w:sz="4"/>
        </w:tblBorders>
        <w:tblLayout w:type="fixed"/>
      </w:tblPr>
      <w:tblGrid>
        <w:gridCol w:w="9360"/>
      </w:tblGrid>
      <w:tr>
        <w:trPr>
          <w:cantSplit/>
        </w:trPr>
        <w:tc>
          <w:tcPr>
            <w:tcW w:type="dxa" w:w="9360"/>
            <w:shd w:fill="F1F5F9" w:color="auto" w:val="clear"/>
            <w:tcMar>
              <w:top w:type="dxa" w:w="140"/>
              <w:left w:type="dxa" w:w="200"/>
              <w:bottom w:type="dxa" w:w="140"/>
              <w:right w:type="dxa" w:w="200"/>
            </w:tcMar>
          </w:tcPr>
          <w:p>
            <w:pPr>
              <w:spacing w:after="100"/>
            </w:pPr>
            <w:r>
              <w:rPr>
                <w:rFonts w:ascii="Calibri" w:cs="Calibri" w:eastAsia="Calibri" w:hAnsi="Calibri"/>
                <w:b/>
                <w:bCs/>
                <w:color w:val="1E293B"/>
                <w:sz w:val="22"/>
                <w:szCs w:val="22"/>
              </w:rPr>
              <w:t xml:space="preserve">Why it is filled this way</w:t>
            </w:r>
          </w:p>
          <w:p>
            <w:pPr>
              <w:spacing w:after="80"/>
            </w:pPr>
            <w:r>
              <w:rPr>
                <w:rFonts w:ascii="Calibri" w:cs="Calibri" w:eastAsia="Calibri" w:hAnsi="Calibri"/>
                <w:sz w:val="20"/>
                <w:szCs w:val="20"/>
              </w:rPr>
              <w:t xml:space="preserve">The use case is named after its business outcome, from verbal win to ready-to-charge, so the sponsor recognizes the value in the title.</w:t>
            </w:r>
          </w:p>
          <w:p>
            <w:pPr>
              <w:spacing w:after="80"/>
            </w:pPr>
            <w:r>
              <w:rPr>
                <w:rFonts w:ascii="Calibri" w:cs="Calibri" w:eastAsia="Calibri" w:hAnsi="Calibri"/>
                <w:sz w:val="20"/>
                <w:szCs w:val="20"/>
              </w:rPr>
              <w:t xml:space="preserve">The out-of-scope row excludes delivering the engagement and invoicing afterwards, which keeps the first phase to the launch alone.</w:t>
            </w:r>
          </w:p>
          <w:p>
            <w:pPr>
              <w:spacing w:after="80"/>
            </w:pPr>
            <w:r>
              <w:rPr>
                <w:rFonts w:ascii="Calibri" w:cs="Calibri" w:eastAsia="Calibri" w:hAnsi="Calibri"/>
                <w:sz w:val="20"/>
                <w:szCs w:val="20"/>
              </w:rPr>
              <w:t xml:space="preserve">Every stage shows who keeps the decision. The use case is safe to start because independence, engagement terms and partner approval stay with people while agents assemble, check, draft and update.</w:t>
            </w:r>
          </w:p>
          <w:p>
            <w:pPr>
              <w:spacing w:after="80"/>
            </w:pPr>
            <w:r>
              <w:rPr>
                <w:rFonts w:ascii="Calibri" w:cs="Calibri" w:eastAsia="Calibri" w:hAnsi="Calibri"/>
                <w:sz w:val="20"/>
                <w:szCs w:val="20"/>
              </w:rPr>
              <w:t xml:space="preserve">Each stage has a work mode and, where it is human-led, the reason. Risk clearance stays human-led because independence is a regulated professional judgment: the should-AI answer is no, whatever a model could do.</w:t>
            </w:r>
          </w:p>
          <w:p>
            <w:pPr>
              <w:spacing w:after="80"/>
            </w:pPr>
            <w:r>
              <w:rPr>
                <w:rFonts w:ascii="Calibri" w:cs="Calibri" w:eastAsia="Calibri" w:hAnsi="Calibri"/>
                <w:sz w:val="20"/>
                <w:szCs w:val="20"/>
              </w:rPr>
              <w:t xml:space="preserve">Data readiness scores 3 out of 5 because the client hierarchy is spread across three systems. That gap puts the golden record into phase 1 without stopping the use case.</w:t>
            </w:r>
          </w:p>
        </w:tc>
      </w:tr>
    </w:tbl>
    <w:p>
      <w:pPr>
        <w:spacing w:after="120"/>
      </w:pPr>
    </w:p>
    <w:p>
      <w:pPr>
        <w:pStyle w:val="Heading2"/>
        <w:keepNext/>
        <w:pageBreakBefore/>
      </w:pPr>
      <w:bookmarkStart w:name="p2_T2" w:id="18"/>
      <w:r>
        <w:rPr>
          <w:rFonts w:ascii="Calibri" w:cs="Calibri" w:eastAsia="Calibri" w:hAnsi="Calibri"/>
        </w:rPr>
        <w:t xml:space="preserve">T2 filled: business case and value hypothesis</w:t>
      </w:r>
      <w:bookmarkEnd w:id="18"/>
    </w:p>
    <w:tbl>
      <w:tblPr>
        <w:tblW w:type="dxa" w:w="9360"/>
        <w:tblBorders>
          <w:top w:val="single" w:color="CBD5E1" w:sz="4"/>
          <w:left w:val="single" w:color="CBD5E1" w:sz="4"/>
          <w:bottom w:val="single" w:color="CBD5E1" w:sz="4"/>
          <w:right w:val="single" w:color="CBD5E1" w:sz="4"/>
          <w:insideH w:val="single" w:color="CBD5E1" w:sz="4"/>
          <w:insideV w:val="single" w:color="CBD5E1" w:sz="4"/>
        </w:tblBorders>
        <w:tblLayout w:type="fixed"/>
      </w:tblPr>
      <w:tblGrid>
        <w:gridCol w:w="1472"/>
        <w:gridCol w:w="2827"/>
        <w:gridCol w:w="1892"/>
        <w:gridCol w:w="1808"/>
        <w:gridCol w:w="1361"/>
      </w:tblGrid>
      <w:tr>
        <w:trPr>
          <w:cantSplit/>
          <w:tblHeader/>
        </w:trPr>
        <w:tc>
          <w:tcPr>
            <w:tcW w:type="dxa" w:w="1472"/>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Value lever</w:t>
            </w:r>
          </w:p>
        </w:tc>
        <w:tc>
          <w:tcPr>
            <w:tcW w:type="dxa" w:w="2827"/>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How the solution delivers it</w:t>
            </w:r>
          </w:p>
        </w:tc>
        <w:tc>
          <w:tcPr>
            <w:tcW w:type="dxa" w:w="1892"/>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Formula and inputs</w:t>
            </w:r>
          </w:p>
        </w:tc>
        <w:tc>
          <w:tcPr>
            <w:tcW w:type="dxa" w:w="1808"/>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Annual value (illustrative)</w:t>
            </w:r>
          </w:p>
        </w:tc>
        <w:tc>
          <w:tcPr>
            <w:tcW w:type="dxa" w:w="1361"/>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Confidence</w:t>
            </w:r>
          </w:p>
        </w:tc>
      </w:tr>
      <w:tr>
        <w:trPr>
          <w:cantSplit/>
          <w:tblHeader w:val="false"/>
        </w:trPr>
        <w:tc>
          <w:tcPr>
            <w:tcW w:type="dxa" w:w="1472"/>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Capacity released</w:t>
            </w:r>
          </w:p>
        </w:tc>
        <w:tc>
          <w:tcPr>
            <w:tcW w:type="dxa" w:w="2827"/>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Manual assembly, checking and data entry falls from about 14 to 5 hours per launch across managers, Risk, resourcing and finance</w:t>
            </w:r>
          </w:p>
        </w:tc>
        <w:tc>
          <w:tcPr>
            <w:tcW w:type="dxa" w:w="1892"/>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10,000 launches × 9 hours × $120 loaded cost</w:t>
            </w:r>
          </w:p>
        </w:tc>
        <w:tc>
          <w:tcPr>
            <w:tcW w:type="dxa" w:w="180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About $10.8M a year</w:t>
            </w:r>
          </w:p>
        </w:tc>
        <w:tc>
          <w:tcPr>
            <w:tcW w:type="dxa" w:w="1361"/>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Medium</w:t>
            </w:r>
          </w:p>
        </w:tc>
      </w:tr>
      <w:tr>
        <w:trPr>
          <w:cantSplit/>
          <w:tblHeader w:val="false"/>
        </w:trPr>
        <w:tc>
          <w:tcPr>
            <w:tcW w:type="dxa" w:w="1472"/>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Revenue protected</w:t>
            </w:r>
          </w:p>
        </w:tc>
        <w:tc>
          <w:tcPr>
            <w:tcW w:type="dxa" w:w="2827"/>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Charge codes exist when work starts, so early hours are billed instead of written off</w:t>
            </w:r>
          </w:p>
        </w:tc>
        <w:tc>
          <w:tcPr>
            <w:tcW w:type="dxa" w:w="1892"/>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2,500 affected launches × 20 hours × $200 average rate</w:t>
            </w:r>
          </w:p>
        </w:tc>
        <w:tc>
          <w:tcPr>
            <w:tcW w:type="dxa" w:w="180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About $10.0M a year</w:t>
            </w:r>
          </w:p>
        </w:tc>
        <w:tc>
          <w:tcPr>
            <w:tcW w:type="dxa" w:w="1361"/>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Medium</w:t>
            </w:r>
          </w:p>
        </w:tc>
      </w:tr>
      <w:tr>
        <w:trPr>
          <w:cantSplit/>
          <w:tblHeader w:val="false"/>
        </w:trPr>
        <w:tc>
          <w:tcPr>
            <w:tcW w:type="dxa" w:w="1472"/>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Utilization</w:t>
            </w:r>
          </w:p>
        </w:tc>
        <w:tc>
          <w:tcPr>
            <w:tcW w:type="dxa" w:w="2827"/>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Teams are confirmed within days instead of weeks, reducing bench time</w:t>
            </w:r>
          </w:p>
        </w:tc>
        <w:tc>
          <w:tcPr>
            <w:tcW w:type="dxa" w:w="1892"/>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0.5 point × 5,000 client-facing staff × 1,800 hours × $200</w:t>
            </w:r>
          </w:p>
        </w:tc>
        <w:tc>
          <w:tcPr>
            <w:tcW w:type="dxa" w:w="180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About $9.0M a year</w:t>
            </w:r>
          </w:p>
        </w:tc>
        <w:tc>
          <w:tcPr>
            <w:tcW w:type="dxa" w:w="1361"/>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Low</w:t>
            </w:r>
          </w:p>
        </w:tc>
      </w:tr>
      <w:tr>
        <w:trPr>
          <w:cantSplit/>
          <w:tblHeader w:val="false"/>
        </w:trPr>
        <w:tc>
          <w:tcPr>
            <w:tcW w:type="dxa" w:w="1472"/>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Risk avoided</w:t>
            </w:r>
          </w:p>
        </w:tc>
        <w:tc>
          <w:tcPr>
            <w:tcW w:type="dxa" w:w="2827"/>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Every independence decision is made by a person before work starts, with evidence and lineage attached</w:t>
            </w:r>
          </w:p>
        </w:tc>
        <w:tc>
          <w:tcPr>
            <w:tcW w:type="dxa" w:w="1892"/>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Avoided remediation, regulatory and reputational cost</w:t>
            </w:r>
          </w:p>
        </w:tc>
        <w:tc>
          <w:tcPr>
            <w:tcW w:type="dxa" w:w="180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Not quantified</w:t>
            </w:r>
          </w:p>
        </w:tc>
        <w:tc>
          <w:tcPr>
            <w:tcW w:type="dxa" w:w="1361"/>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Not applicable</w:t>
            </w:r>
          </w:p>
        </w:tc>
      </w:tr>
    </w:tbl>
    <w:p>
      <w:pPr>
        <w:spacing w:after="120"/>
      </w:pPr>
    </w:p>
    <w:tbl>
      <w:tblPr>
        <w:tblW w:type="dxa" w:w="9360"/>
        <w:tblBorders>
          <w:top w:val="single" w:color="CBD5E1" w:sz="4"/>
          <w:left w:val="single" w:color="CBD5E1" w:sz="4"/>
          <w:bottom w:val="single" w:color="CBD5E1" w:sz="4"/>
          <w:right w:val="single" w:color="CBD5E1" w:sz="4"/>
          <w:insideH w:val="single" w:color="CBD5E1" w:sz="4"/>
          <w:insideV w:val="single" w:color="CBD5E1" w:sz="4"/>
        </w:tblBorders>
        <w:tblLayout w:type="fixed"/>
      </w:tblPr>
      <w:tblGrid>
        <w:gridCol w:w="2880"/>
        <w:gridCol w:w="2049"/>
        <w:gridCol w:w="2572"/>
        <w:gridCol w:w="1859"/>
      </w:tblGrid>
      <w:tr>
        <w:trPr>
          <w:cantSplit/>
          <w:tblHeader/>
        </w:trPr>
        <w:tc>
          <w:tcPr>
            <w:tcW w:type="dxa" w:w="2880"/>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Assumption</w:t>
            </w:r>
          </w:p>
        </w:tc>
        <w:tc>
          <w:tcPr>
            <w:tcW w:type="dxa" w:w="2049"/>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Value</w:t>
            </w:r>
          </w:p>
        </w:tc>
        <w:tc>
          <w:tcPr>
            <w:tcW w:type="dxa" w:w="2572"/>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Source</w:t>
            </w:r>
          </w:p>
        </w:tc>
        <w:tc>
          <w:tcPr>
            <w:tcW w:type="dxa" w:w="1859"/>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Agreed by</w:t>
            </w:r>
          </w:p>
        </w:tc>
      </w:tr>
      <w:tr>
        <w:trPr>
          <w:cantSplit/>
          <w:tblHeader w:val="false"/>
        </w:trPr>
        <w:tc>
          <w:tcPr>
            <w:tcW w:type="dxa" w:w="288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Engagement launches a year</w:t>
            </w:r>
          </w:p>
        </w:tc>
        <w:tc>
          <w:tcPr>
            <w:tcW w:type="dxa" w:w="2049"/>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10,000</w:t>
            </w:r>
          </w:p>
        </w:tc>
        <w:tc>
          <w:tcPr>
            <w:tcW w:type="dxa" w:w="2572"/>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CRM (illustrative)</w:t>
            </w:r>
          </w:p>
        </w:tc>
        <w:tc>
          <w:tcPr>
            <w:tcW w:type="dxa" w:w="1859"/>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Business owner</w:t>
            </w:r>
          </w:p>
        </w:tc>
      </w:tr>
      <w:tr>
        <w:trPr>
          <w:cantSplit/>
          <w:tblHeader w:val="false"/>
        </w:trPr>
        <w:tc>
          <w:tcPr>
            <w:tcW w:type="dxa" w:w="288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Loaded cost per hour</w:t>
            </w:r>
          </w:p>
        </w:tc>
        <w:tc>
          <w:tcPr>
            <w:tcW w:type="dxa" w:w="2049"/>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$120</w:t>
            </w:r>
          </w:p>
        </w:tc>
        <w:tc>
          <w:tcPr>
            <w:tcW w:type="dxa" w:w="2572"/>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Finance (illustrative)</w:t>
            </w:r>
          </w:p>
        </w:tc>
        <w:tc>
          <w:tcPr>
            <w:tcW w:type="dxa" w:w="1859"/>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Finance partner</w:t>
            </w:r>
          </w:p>
        </w:tc>
      </w:tr>
      <w:tr>
        <w:trPr>
          <w:cantSplit/>
          <w:tblHeader w:val="false"/>
        </w:trPr>
        <w:tc>
          <w:tcPr>
            <w:tcW w:type="dxa" w:w="288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Average rate per hour</w:t>
            </w:r>
          </w:p>
        </w:tc>
        <w:tc>
          <w:tcPr>
            <w:tcW w:type="dxa" w:w="2049"/>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$200</w:t>
            </w:r>
          </w:p>
        </w:tc>
        <w:tc>
          <w:tcPr>
            <w:tcW w:type="dxa" w:w="2572"/>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Finance (illustrative)</w:t>
            </w:r>
          </w:p>
        </w:tc>
        <w:tc>
          <w:tcPr>
            <w:tcW w:type="dxa" w:w="1859"/>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Finance partner</w:t>
            </w:r>
          </w:p>
        </w:tc>
      </w:tr>
      <w:tr>
        <w:trPr>
          <w:cantSplit/>
          <w:tblHeader w:val="false"/>
        </w:trPr>
        <w:tc>
          <w:tcPr>
            <w:tcW w:type="dxa" w:w="288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Launches starting before charge codes exist</w:t>
            </w:r>
          </w:p>
        </w:tc>
        <w:tc>
          <w:tcPr>
            <w:tcW w:type="dxa" w:w="2049"/>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About 2,500 a year, about 20 hours each</w:t>
            </w:r>
          </w:p>
        </w:tc>
        <w:tc>
          <w:tcPr>
            <w:tcW w:type="dxa" w:w="2572"/>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SAP and time records (illustrative)</w:t>
            </w:r>
          </w:p>
        </w:tc>
        <w:tc>
          <w:tcPr>
            <w:tcW w:type="dxa" w:w="1859"/>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Finance partner</w:t>
            </w:r>
          </w:p>
        </w:tc>
      </w:tr>
      <w:tr>
        <w:trPr>
          <w:cantSplit/>
          <w:tblHeader w:val="false"/>
        </w:trPr>
        <w:tc>
          <w:tcPr>
            <w:tcW w:type="dxa" w:w="288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Client-facing staff and hours</w:t>
            </w:r>
          </w:p>
        </w:tc>
        <w:tc>
          <w:tcPr>
            <w:tcW w:type="dxa" w:w="2049"/>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5,000 staff</w:t>
            </w:r>
          </w:p>
          <w:p>
            <w:pPr>
              <w:spacing w:after="0" w:before="0" w:line="252"/>
            </w:pPr>
            <w:r>
              <w:rPr>
                <w:rFonts w:ascii="Calibri" w:cs="Calibri" w:eastAsia="Calibri" w:hAnsi="Calibri"/>
                <w:sz w:val="18"/>
                <w:szCs w:val="18"/>
              </w:rPr>
              <w:t xml:space="preserve">1,800 hours a year</w:t>
            </w:r>
          </w:p>
        </w:tc>
        <w:tc>
          <w:tcPr>
            <w:tcW w:type="dxa" w:w="2572"/>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Workday (illustrative)</w:t>
            </w:r>
          </w:p>
        </w:tc>
        <w:tc>
          <w:tcPr>
            <w:tcW w:type="dxa" w:w="1859"/>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Talent</w:t>
            </w:r>
          </w:p>
        </w:tc>
      </w:tr>
    </w:tbl>
    <w:p>
      <w:pPr>
        <w:spacing w:after="120"/>
      </w:pPr>
    </w:p>
    <w:tbl>
      <w:tblPr>
        <w:tblW w:type="dxa" w:w="9360"/>
        <w:tblBorders>
          <w:top w:val="single" w:color="CBD5E1" w:sz="4"/>
          <w:left w:val="single" w:color="CBD5E1" w:sz="4"/>
          <w:bottom w:val="single" w:color="CBD5E1" w:sz="4"/>
          <w:right w:val="single" w:color="CBD5E1" w:sz="4"/>
          <w:insideH w:val="single" w:color="CBD5E1" w:sz="4"/>
          <w:insideV w:val="single" w:color="CBD5E1" w:sz="4"/>
        </w:tblBorders>
        <w:tblLayout w:type="fixed"/>
      </w:tblPr>
      <w:tblGrid>
        <w:gridCol w:w="1780"/>
        <w:gridCol w:w="7580"/>
      </w:tblGrid>
      <w:tr>
        <w:trPr>
          <w:cantSplit/>
          <w:tblHeader w:val="false"/>
        </w:trPr>
        <w:tc>
          <w:tcPr>
            <w:tcW w:type="dxa" w:w="1780"/>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Run rate at full scale</w:t>
            </w:r>
          </w:p>
        </w:tc>
        <w:tc>
          <w:tcPr>
            <w:tcW w:type="dxa" w:w="758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About $30 million a year released or protected, before platform, model and change costs</w:t>
            </w:r>
          </w:p>
        </w:tc>
      </w:tr>
      <w:tr>
        <w:trPr>
          <w:cantSplit/>
          <w:tblHeader w:val="false"/>
        </w:trPr>
        <w:tc>
          <w:tcPr>
            <w:tcW w:type="dxa" w:w="1780"/>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Costs</w:t>
            </w:r>
          </w:p>
        </w:tc>
        <w:tc>
          <w:tcPr>
            <w:tcW w:type="dxa" w:w="758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To be estimated with the project team: platform, implementation, model usage and change</w:t>
            </w:r>
          </w:p>
        </w:tc>
      </w:tr>
      <w:tr>
        <w:trPr>
          <w:cantSplit/>
          <w:tblHeader w:val="false"/>
        </w:trPr>
        <w:tc>
          <w:tcPr>
            <w:tcW w:type="dxa" w:w="1780"/>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Expected business outcomes</w:t>
            </w:r>
          </w:p>
        </w:tc>
        <w:tc>
          <w:tcPr>
            <w:tcW w:type="dxa" w:w="7580"/>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Verbal win to ready-to-charge in about two business days</w:t>
            </w:r>
          </w:p>
          <w:p>
            <w:pPr>
              <w:spacing w:after="80" w:before="0" w:line="252"/>
            </w:pPr>
            <w:r>
              <w:rPr>
                <w:rFonts w:ascii="Calibri" w:cs="Calibri" w:eastAsia="Calibri" w:hAnsi="Calibri"/>
                <w:sz w:val="18"/>
                <w:szCs w:val="18"/>
              </w:rPr>
              <w:t xml:space="preserve">Lower cost to launch</w:t>
            </w:r>
          </w:p>
          <w:p>
            <w:pPr>
              <w:spacing w:after="80" w:before="0" w:line="252"/>
            </w:pPr>
            <w:r>
              <w:rPr>
                <w:rFonts w:ascii="Calibri" w:cs="Calibri" w:eastAsia="Calibri" w:hAnsi="Calibri"/>
                <w:sz w:val="18"/>
                <w:szCs w:val="18"/>
              </w:rPr>
              <w:t xml:space="preserve">No known independence exceptions at engagement start, with a complete evidence trail</w:t>
            </w:r>
          </w:p>
          <w:p>
            <w:pPr>
              <w:spacing w:after="0" w:before="0" w:line="252"/>
            </w:pPr>
            <w:r>
              <w:rPr>
                <w:rFonts w:ascii="Calibri" w:cs="Calibri" w:eastAsia="Calibri" w:hAnsi="Calibri"/>
                <w:sz w:val="18"/>
                <w:szCs w:val="18"/>
              </w:rPr>
              <w:t xml:space="preserve">The engagement letter the same day</w:t>
            </w:r>
          </w:p>
        </w:tc>
      </w:tr>
      <w:tr>
        <w:trPr>
          <w:cantSplit/>
          <w:tblHeader w:val="false"/>
        </w:trPr>
        <w:tc>
          <w:tcPr>
            <w:tcW w:type="dxa" w:w="1780"/>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Payback benchmark</w:t>
            </w:r>
          </w:p>
        </w:tc>
        <w:tc>
          <w:tcPr>
            <w:tcW w:type="dxa" w:w="758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Typical AI payback is two to four years.</w:t>
            </w:r>
            <w:hyperlink w:history="1" w:anchor="en_82">
              <w:r>
                <w:rPr>
                  <w:rFonts w:ascii="Calibri" w:cs="Calibri" w:eastAsia="Calibri" w:hAnsi="Calibri"/>
                  <w:color w:val="0369A1"/>
                  <w:sz w:val="18"/>
                  <w:szCs w:val="18"/>
                  <w:vertAlign w:val="superscript"/>
                </w:rPr>
                <w:t xml:space="preserve">82</w:t>
              </w:r>
            </w:hyperlink>
            <w:r>
              <w:rPr>
                <w:rFonts w:ascii="Calibri" w:cs="Calibri" w:eastAsia="Calibri" w:hAnsi="Calibri"/>
                <w:sz w:val="18"/>
                <w:szCs w:val="18"/>
              </w:rPr>
              <w:t xml:space="preserve"> This plan releases value from month 3 and reaches the full run rate at month 12, so the payback month depends on the costs the project team will estimate.</w:t>
            </w:r>
          </w:p>
        </w:tc>
      </w:tr>
      <w:tr>
        <w:trPr>
          <w:cantSplit/>
          <w:tblHeader w:val="false"/>
        </w:trPr>
        <w:tc>
          <w:tcPr>
            <w:tcW w:type="dxa" w:w="1780"/>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Horizons</w:t>
            </w:r>
          </w:p>
        </w:tc>
        <w:tc>
          <w:tcPr>
            <w:tcW w:type="dxa" w:w="758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The read-only first slice is judged in months. The gated SAP setup, which acts in a system of record, is judged on the 12-month horizon.</w:t>
            </w:r>
          </w:p>
        </w:tc>
      </w:tr>
    </w:tbl>
    <w:p>
      <w:pPr>
        <w:spacing w:after="120"/>
      </w:pPr>
    </w:p>
    <w:tbl>
      <w:tblPr>
        <w:tblW w:type="dxa" w:w="9360"/>
        <w:tblBorders>
          <w:top w:val="single" w:color="CBD5E1" w:sz="4"/>
          <w:left w:val="single" w:color="CBD5E1" w:sz="4"/>
          <w:bottom w:val="single" w:color="CBD5E1" w:sz="4"/>
          <w:right w:val="single" w:color="CBD5E1" w:sz="4"/>
          <w:insideH w:val="single" w:color="CBD5E1" w:sz="4"/>
          <w:insideV w:val="single" w:color="CBD5E1" w:sz="4"/>
        </w:tblBorders>
        <w:tblLayout w:type="fixed"/>
      </w:tblPr>
      <w:tblGrid>
        <w:gridCol w:w="9360"/>
      </w:tblGrid>
      <w:tr>
        <w:trPr>
          <w:cantSplit/>
        </w:trPr>
        <w:tc>
          <w:tcPr>
            <w:tcW w:type="dxa" w:w="9360"/>
            <w:shd w:fill="F1F5F9" w:color="auto" w:val="clear"/>
            <w:tcMar>
              <w:top w:type="dxa" w:w="140"/>
              <w:left w:type="dxa" w:w="200"/>
              <w:bottom w:type="dxa" w:w="140"/>
              <w:right w:type="dxa" w:w="200"/>
            </w:tcMar>
          </w:tcPr>
          <w:p>
            <w:pPr>
              <w:spacing w:after="100"/>
            </w:pPr>
            <w:r>
              <w:rPr>
                <w:rFonts w:ascii="Calibri" w:cs="Calibri" w:eastAsia="Calibri" w:hAnsi="Calibri"/>
                <w:b/>
                <w:bCs/>
                <w:color w:val="1E293B"/>
                <w:sz w:val="22"/>
                <w:szCs w:val="22"/>
              </w:rPr>
              <w:t xml:space="preserve">Why it is filled this way</w:t>
            </w:r>
          </w:p>
          <w:p>
            <w:pPr>
              <w:spacing w:after="80"/>
            </w:pPr>
            <w:r>
              <w:rPr>
                <w:rFonts w:ascii="Calibri" w:cs="Calibri" w:eastAsia="Calibri" w:hAnsi="Calibri"/>
                <w:sz w:val="20"/>
                <w:szCs w:val="20"/>
              </w:rPr>
              <w:t xml:space="preserve">Each lever has a formula that finance can check line by line. The inputs are labeled illustrative until the firm’s own baseline replaces them.</w:t>
            </w:r>
          </w:p>
          <w:p>
            <w:pPr>
              <w:spacing w:after="80"/>
            </w:pPr>
            <w:r>
              <w:rPr>
                <w:rFonts w:ascii="Calibri" w:cs="Calibri" w:eastAsia="Calibri" w:hAnsi="Calibri"/>
                <w:sz w:val="20"/>
                <w:szCs w:val="20"/>
              </w:rPr>
              <w:t xml:space="preserve">Utilization carries low confidence because it depends on how quickly freed time is re-staffed, which the firm will measure in phase 2.</w:t>
            </w:r>
          </w:p>
          <w:p>
            <w:pPr>
              <w:spacing w:after="80"/>
            </w:pPr>
            <w:r>
              <w:rPr>
                <w:rFonts w:ascii="Calibri" w:cs="Calibri" w:eastAsia="Calibri" w:hAnsi="Calibri"/>
                <w:sz w:val="20"/>
                <w:szCs w:val="20"/>
              </w:rPr>
              <w:t xml:space="preserve">Risk avoided is described without a price. The firm may have its own estimate of remediation and regulatory cost, and until that estimate is available, evidence and lineage are the value.</w:t>
            </w:r>
          </w:p>
          <w:p>
            <w:pPr>
              <w:spacing w:after="80"/>
            </w:pPr>
            <w:r>
              <w:rPr>
                <w:rFonts w:ascii="Calibri" w:cs="Calibri" w:eastAsia="Calibri" w:hAnsi="Calibri"/>
                <w:sz w:val="20"/>
                <w:szCs w:val="20"/>
              </w:rPr>
              <w:t xml:space="preserve">The benchmark row sets the case beside what finance will compare it with: the two to four years a typical AI use case takes to pay back.</w:t>
            </w:r>
          </w:p>
        </w:tc>
      </w:tr>
    </w:tbl>
    <w:p>
      <w:pPr>
        <w:spacing w:after="120"/>
      </w:pPr>
    </w:p>
    <w:p>
      <w:pPr>
        <w:pStyle w:val="Heading2"/>
        <w:keepNext/>
        <w:pageBreakBefore/>
      </w:pPr>
      <w:bookmarkStart w:name="p2_T3" w:id="19"/>
      <w:r>
        <w:rPr>
          <w:rFonts w:ascii="Calibri" w:cs="Calibri" w:eastAsia="Calibri" w:hAnsi="Calibri"/>
        </w:rPr>
        <w:t xml:space="preserve">T3 filled: asset inventory</w:t>
      </w:r>
      <w:bookmarkEnd w:id="19"/>
    </w:p>
    <w:p>
      <w:pPr>
        <w:spacing w:after="140"/>
      </w:pPr>
      <w:r>
        <w:rPr>
          <w:rFonts w:ascii="Calibri" w:cs="Calibri" w:eastAsia="Calibri" w:hAnsi="Calibri"/>
        </w:rPr>
        <w:t xml:space="preserve">The inventory below is illustrative. For each tool, the table shows whether it exists today or must be built, and the phase column shows when the plan needs it.</w:t>
      </w:r>
    </w:p>
    <w:p>
      <w:pPr>
        <w:keepNext/>
        <w:spacing w:after="60" w:before="120" w:line="240" w:lineRule="auto"/>
        <w:jc w:val="center"/>
      </w:pPr>
      <w:r>
        <w:drawing>
          <wp:inline distT="0" distB="0" distL="0" distR="0">
            <wp:extent cx="5943600" cy="2362200"/>
            <wp:effectExtent t="0" r="0" b="0" l="0"/>
            <wp:docPr id="6" name="Figure 10" descr="Use case 1 assets by layer" title="Fig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 descr=""/>
                    <pic:cNvPicPr>
                      <a:picLocks noChangeAspect="1" noChangeArrowheads="1"/>
                    </pic:cNvPicPr>
                  </pic:nvPicPr>
                  <pic:blipFill>
                    <a:blip r:embed="rId16" cstate="none"/>
                    <a:srcRect/>
                    <a:stretch>
                      <a:fillRect/>
                    </a:stretch>
                  </pic:blipFill>
                  <pic:spPr bwMode="auto">
                    <a:xfrm>
                      <a:off x="0" y="0"/>
                      <a:ext cx="5943600" cy="2362200"/>
                    </a:xfrm>
                    <a:prstGeom prst="rect">
                      <a:avLst/>
                    </a:prstGeom>
                  </pic:spPr>
                </pic:pic>
              </a:graphicData>
            </a:graphic>
          </wp:inline>
        </w:drawing>
      </w:r>
    </w:p>
    <w:p>
      <w:pPr>
        <w:spacing w:after="240"/>
      </w:pPr>
      <w:r>
        <w:rPr>
          <w:rFonts w:ascii="Calibri" w:cs="Calibri" w:eastAsia="Calibri" w:hAnsi="Calibri"/>
          <w:i/>
          <w:iCs/>
          <w:color w:val="64748B"/>
          <w:sz w:val="18"/>
          <w:szCs w:val="18"/>
        </w:rPr>
        <w:t xml:space="preserve">Figure 10. Use case 1 assets by layer, from the asset inventory (client deck, Part 1).</w:t>
      </w:r>
    </w:p>
    <w:p>
      <w:pPr>
        <w:pStyle w:val="Heading3"/>
        <w:keepNext/>
      </w:pPr>
      <w:r>
        <w:rPr>
          <w:rFonts w:ascii="Calibri" w:cs="Calibri" w:eastAsia="Calibri" w:hAnsi="Calibri"/>
        </w:rPr>
        <w:t xml:space="preserve">T3a. Applications and systems of record</w:t>
      </w:r>
    </w:p>
    <w:tbl>
      <w:tblPr>
        <w:tblW w:type="dxa" w:w="9360"/>
        <w:tblBorders>
          <w:top w:val="single" w:color="CBD5E1" w:sz="4"/>
          <w:left w:val="single" w:color="CBD5E1" w:sz="4"/>
          <w:bottom w:val="single" w:color="CBD5E1" w:sz="4"/>
          <w:right w:val="single" w:color="CBD5E1" w:sz="4"/>
          <w:insideH w:val="single" w:color="CBD5E1" w:sz="4"/>
          <w:insideV w:val="single" w:color="CBD5E1" w:sz="4"/>
        </w:tblBorders>
        <w:tblLayout w:type="fixed"/>
      </w:tblPr>
      <w:tblGrid>
        <w:gridCol w:w="1696"/>
        <w:gridCol w:w="1240"/>
        <w:gridCol w:w="2708"/>
        <w:gridCol w:w="1840"/>
        <w:gridCol w:w="1075"/>
        <w:gridCol w:w="801"/>
      </w:tblGrid>
      <w:tr>
        <w:trPr>
          <w:cantSplit/>
          <w:tblHeader/>
        </w:trPr>
        <w:tc>
          <w:tcPr>
            <w:tcW w:type="dxa" w:w="1696"/>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System</w:t>
            </w:r>
          </w:p>
        </w:tc>
        <w:tc>
          <w:tcPr>
            <w:tcW w:type="dxa" w:w="1240"/>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Owner</w:t>
            </w:r>
          </w:p>
        </w:tc>
        <w:tc>
          <w:tcPr>
            <w:tcW w:type="dxa" w:w="2708"/>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Role in the use case</w:t>
            </w:r>
          </w:p>
        </w:tc>
        <w:tc>
          <w:tcPr>
            <w:tcW w:type="dxa" w:w="1840"/>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Interfaces</w:t>
            </w:r>
          </w:p>
        </w:tc>
        <w:tc>
          <w:tcPr>
            <w:tcW w:type="dxa" w:w="1075"/>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Agent access</w:t>
            </w:r>
          </w:p>
        </w:tc>
        <w:tc>
          <w:tcPr>
            <w:tcW w:type="dxa" w:w="801"/>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Phase</w:t>
            </w:r>
          </w:p>
        </w:tc>
      </w:tr>
      <w:tr>
        <w:trPr>
          <w:cantSplit/>
          <w:tblHeader w:val="false"/>
        </w:trPr>
        <w:tc>
          <w:tcPr>
            <w:tcW w:type="dxa" w:w="1696"/>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CRM</w:t>
            </w:r>
          </w:p>
        </w:tc>
        <w:tc>
          <w:tcPr>
            <w:tcW w:type="dxa" w:w="12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Sales operations</w:t>
            </w:r>
          </w:p>
        </w:tc>
        <w:tc>
          <w:tcPr>
            <w:tcW w:type="dxa" w:w="2708"/>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Opportunity and account</w:t>
            </w:r>
          </w:p>
          <w:p>
            <w:pPr>
              <w:spacing w:after="0" w:before="0" w:line="252"/>
            </w:pPr>
            <w:r>
              <w:rPr>
                <w:rFonts w:ascii="Calibri" w:cs="Calibri" w:eastAsia="Calibri" w:hAnsi="Calibri"/>
                <w:sz w:val="18"/>
                <w:szCs w:val="18"/>
              </w:rPr>
              <w:t xml:space="preserve">The verbal-win event starts the launch</w:t>
            </w:r>
          </w:p>
        </w:tc>
        <w:tc>
          <w:tcPr>
            <w:tcW w:type="dxa" w:w="1840"/>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Event</w:t>
            </w:r>
          </w:p>
          <w:p>
            <w:pPr>
              <w:spacing w:after="0" w:before="0" w:line="252"/>
            </w:pPr>
            <w:r>
              <w:rPr>
                <w:rFonts w:ascii="Calibri" w:cs="Calibri" w:eastAsia="Calibri" w:hAnsi="Calibri"/>
                <w:sz w:val="18"/>
                <w:szCs w:val="18"/>
              </w:rPr>
              <w:t xml:space="preserve">Opportunity and account API</w:t>
            </w:r>
          </w:p>
        </w:tc>
        <w:tc>
          <w:tcPr>
            <w:tcW w:type="dxa" w:w="1075"/>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Read</w:t>
            </w:r>
          </w:p>
        </w:tc>
        <w:tc>
          <w:tcPr>
            <w:tcW w:type="dxa" w:w="801"/>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1</w:t>
            </w:r>
          </w:p>
        </w:tc>
      </w:tr>
      <w:tr>
        <w:trPr>
          <w:cantSplit/>
          <w:tblHeader w:val="false"/>
        </w:trPr>
        <w:tc>
          <w:tcPr>
            <w:tcW w:type="dxa" w:w="1696"/>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Independence and conflicts system</w:t>
            </w:r>
          </w:p>
        </w:tc>
        <w:tc>
          <w:tcPr>
            <w:tcW w:type="dxa" w:w="12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Risk &amp; Quality</w:t>
            </w:r>
          </w:p>
        </w:tc>
        <w:tc>
          <w:tcPr>
            <w:tcW w:type="dxa" w:w="270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Conflict and independence searches, restricted-entity list, clearance flag</w:t>
            </w:r>
          </w:p>
        </w:tc>
        <w:tc>
          <w:tcPr>
            <w:tcW w:type="dxa" w:w="1840"/>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Search API</w:t>
            </w:r>
          </w:p>
          <w:p>
            <w:pPr>
              <w:spacing w:after="0" w:before="0" w:line="252"/>
            </w:pPr>
            <w:r>
              <w:rPr>
                <w:rFonts w:ascii="Calibri" w:cs="Calibri" w:eastAsia="Calibri" w:hAnsi="Calibri"/>
                <w:sz w:val="18"/>
                <w:szCs w:val="18"/>
              </w:rPr>
              <w:t xml:space="preserve">Clearance-flag API</w:t>
            </w:r>
          </w:p>
        </w:tc>
        <w:tc>
          <w:tcPr>
            <w:tcW w:type="dxa" w:w="1075"/>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Read (a person decides)</w:t>
            </w:r>
          </w:p>
        </w:tc>
        <w:tc>
          <w:tcPr>
            <w:tcW w:type="dxa" w:w="801"/>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1</w:t>
            </w:r>
          </w:p>
        </w:tc>
      </w:tr>
      <w:tr>
        <w:trPr>
          <w:cantSplit/>
          <w:tblHeader w:val="false"/>
        </w:trPr>
        <w:tc>
          <w:tcPr>
            <w:tcW w:type="dxa" w:w="1696"/>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Master data hub</w:t>
            </w:r>
          </w:p>
        </w:tc>
        <w:tc>
          <w:tcPr>
            <w:tcW w:type="dxa" w:w="12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Data governance</w:t>
            </w:r>
          </w:p>
        </w:tc>
        <w:tc>
          <w:tcPr>
            <w:tcW w:type="dxa" w:w="270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Client, worker and engagement golden records with hierarchies</w:t>
            </w:r>
          </w:p>
        </w:tc>
        <w:tc>
          <w:tcPr>
            <w:tcW w:type="dxa" w:w="1840"/>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MDM API</w:t>
            </w:r>
          </w:p>
          <w:p>
            <w:pPr>
              <w:spacing w:after="0" w:before="0" w:line="252"/>
            </w:pPr>
            <w:r>
              <w:rPr>
                <w:rFonts w:ascii="Calibri" w:cs="Calibri" w:eastAsia="Calibri" w:hAnsi="Calibri"/>
                <w:sz w:val="18"/>
                <w:szCs w:val="18"/>
              </w:rPr>
              <w:t xml:space="preserve">MCP tools (resolve_entity, get_hierarchy)</w:t>
            </w:r>
          </w:p>
        </w:tc>
        <w:tc>
          <w:tcPr>
            <w:tcW w:type="dxa" w:w="1075"/>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Read</w:t>
            </w:r>
          </w:p>
        </w:tc>
        <w:tc>
          <w:tcPr>
            <w:tcW w:type="dxa" w:w="801"/>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1</w:t>
            </w:r>
          </w:p>
        </w:tc>
      </w:tr>
      <w:tr>
        <w:trPr>
          <w:cantSplit/>
          <w:tblHeader w:val="false"/>
        </w:trPr>
        <w:tc>
          <w:tcPr>
            <w:tcW w:type="dxa" w:w="1696"/>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Document management and e-signature</w:t>
            </w:r>
          </w:p>
        </w:tc>
        <w:tc>
          <w:tcPr>
            <w:tcW w:type="dxa" w:w="1240"/>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Risk &amp; Quality</w:t>
            </w:r>
          </w:p>
          <w:p>
            <w:pPr>
              <w:spacing w:after="0" w:before="0" w:line="252"/>
            </w:pPr>
            <w:r>
              <w:rPr>
                <w:rFonts w:ascii="Calibri" w:cs="Calibri" w:eastAsia="Calibri" w:hAnsi="Calibri"/>
                <w:sz w:val="18"/>
                <w:szCs w:val="18"/>
              </w:rPr>
              <w:t xml:space="preserve">Practice operations</w:t>
            </w:r>
          </w:p>
        </w:tc>
        <w:tc>
          <w:tcPr>
            <w:tcW w:type="dxa" w:w="2708"/>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Templates, clause library, precedent</w:t>
            </w:r>
          </w:p>
          <w:p>
            <w:pPr>
              <w:spacing w:after="80" w:before="0" w:line="252"/>
            </w:pPr>
            <w:r>
              <w:rPr>
                <w:rFonts w:ascii="Calibri" w:cs="Calibri" w:eastAsia="Calibri" w:hAnsi="Calibri"/>
                <w:sz w:val="18"/>
                <w:szCs w:val="18"/>
              </w:rPr>
              <w:t xml:space="preserve">Engagement letters</w:t>
            </w:r>
          </w:p>
          <w:p>
            <w:pPr>
              <w:spacing w:after="0" w:before="0" w:line="252"/>
            </w:pPr>
            <w:r>
              <w:rPr>
                <w:rFonts w:ascii="Calibri" w:cs="Calibri" w:eastAsia="Calibri" w:hAnsi="Calibri"/>
                <w:sz w:val="18"/>
                <w:szCs w:val="18"/>
              </w:rPr>
              <w:t xml:space="preserve">Client signature</w:t>
            </w:r>
          </w:p>
        </w:tc>
        <w:tc>
          <w:tcPr>
            <w:tcW w:type="dxa" w:w="1840"/>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Search and document APIs</w:t>
            </w:r>
          </w:p>
          <w:p>
            <w:pPr>
              <w:spacing w:after="0" w:before="0" w:line="252"/>
            </w:pPr>
            <w:r>
              <w:rPr>
                <w:rFonts w:ascii="Calibri" w:cs="Calibri" w:eastAsia="Calibri" w:hAnsi="Calibri"/>
                <w:sz w:val="18"/>
                <w:szCs w:val="18"/>
              </w:rPr>
              <w:t xml:space="preserve">Signature event</w:t>
            </w:r>
          </w:p>
        </w:tc>
        <w:tc>
          <w:tcPr>
            <w:tcW w:type="dxa" w:w="1075"/>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Read</w:t>
            </w:r>
          </w:p>
          <w:p>
            <w:pPr>
              <w:spacing w:after="0" w:before="0" w:line="252"/>
            </w:pPr>
            <w:r>
              <w:rPr>
                <w:rFonts w:ascii="Calibri" w:cs="Calibri" w:eastAsia="Calibri" w:hAnsi="Calibri"/>
                <w:sz w:val="18"/>
                <w:szCs w:val="18"/>
              </w:rPr>
              <w:t xml:space="preserve">Create drafts</w:t>
            </w:r>
          </w:p>
        </w:tc>
        <w:tc>
          <w:tcPr>
            <w:tcW w:type="dxa" w:w="801"/>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2</w:t>
            </w:r>
          </w:p>
        </w:tc>
      </w:tr>
      <w:tr>
        <w:trPr>
          <w:cantSplit/>
          <w:tblHeader w:val="false"/>
        </w:trPr>
        <w:tc>
          <w:tcPr>
            <w:tcW w:type="dxa" w:w="1696"/>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Workday HCM</w:t>
            </w:r>
          </w:p>
        </w:tc>
        <w:tc>
          <w:tcPr>
            <w:tcW w:type="dxa" w:w="12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Talent</w:t>
            </w:r>
          </w:p>
        </w:tc>
        <w:tc>
          <w:tcPr>
            <w:tcW w:type="dxa" w:w="270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Skills, certifications, availability</w:t>
            </w:r>
          </w:p>
        </w:tc>
        <w:tc>
          <w:tcPr>
            <w:tcW w:type="dxa" w:w="18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Workday API</w:t>
            </w:r>
          </w:p>
        </w:tc>
        <w:tc>
          <w:tcPr>
            <w:tcW w:type="dxa" w:w="1075"/>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Read</w:t>
            </w:r>
          </w:p>
        </w:tc>
        <w:tc>
          <w:tcPr>
            <w:tcW w:type="dxa" w:w="801"/>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2</w:t>
            </w:r>
          </w:p>
        </w:tc>
      </w:tr>
      <w:tr>
        <w:trPr>
          <w:cantSplit/>
          <w:tblHeader w:val="false"/>
        </w:trPr>
        <w:tc>
          <w:tcPr>
            <w:tcW w:type="dxa" w:w="1696"/>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SAP S/4HANA</w:t>
            </w:r>
          </w:p>
        </w:tc>
        <w:tc>
          <w:tcPr>
            <w:tcW w:type="dxa" w:w="12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Finance</w:t>
            </w:r>
          </w:p>
        </w:tc>
        <w:tc>
          <w:tcPr>
            <w:tcW w:type="dxa" w:w="2708"/>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Rate cards</w:t>
            </w:r>
          </w:p>
          <w:p>
            <w:pPr>
              <w:spacing w:after="0" w:before="0" w:line="252"/>
            </w:pPr>
            <w:r>
              <w:rPr>
                <w:rFonts w:ascii="Calibri" w:cs="Calibri" w:eastAsia="Calibri" w:hAnsi="Calibri"/>
                <w:sz w:val="18"/>
                <w:szCs w:val="18"/>
              </w:rPr>
              <w:t xml:space="preserve">Project, WBS, billing plan and charge codes</w:t>
            </w:r>
          </w:p>
        </w:tc>
        <w:tc>
          <w:tcPr>
            <w:tcW w:type="dxa" w:w="18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SAP APIs</w:t>
            </w:r>
          </w:p>
        </w:tc>
        <w:tc>
          <w:tcPr>
            <w:tcW w:type="dxa" w:w="1075"/>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Read (phase 2)</w:t>
            </w:r>
          </w:p>
          <w:p>
            <w:pPr>
              <w:spacing w:after="0" w:before="0" w:line="252"/>
            </w:pPr>
            <w:r>
              <w:rPr>
                <w:rFonts w:ascii="Calibri" w:cs="Calibri" w:eastAsia="Calibri" w:hAnsi="Calibri"/>
                <w:sz w:val="18"/>
                <w:szCs w:val="18"/>
              </w:rPr>
              <w:t xml:space="preserve">Write, policy-gated (phase 3)</w:t>
            </w:r>
          </w:p>
        </w:tc>
        <w:tc>
          <w:tcPr>
            <w:tcW w:type="dxa" w:w="801"/>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2–3</w:t>
            </w:r>
          </w:p>
        </w:tc>
      </w:tr>
      <w:tr>
        <w:trPr>
          <w:cantSplit/>
          <w:tblHeader w:val="false"/>
        </w:trPr>
        <w:tc>
          <w:tcPr>
            <w:tcW w:type="dxa" w:w="1696"/>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Snowflake</w:t>
            </w:r>
          </w:p>
        </w:tc>
        <w:tc>
          <w:tcPr>
            <w:tcW w:type="dxa" w:w="12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Finance and data platform</w:t>
            </w:r>
          </w:p>
        </w:tc>
        <w:tc>
          <w:tcPr>
            <w:tcW w:type="dxa" w:w="270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Historical engagement economics through governed semantic views</w:t>
            </w:r>
          </w:p>
        </w:tc>
        <w:tc>
          <w:tcPr>
            <w:tcW w:type="dxa" w:w="18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Semantic views</w:t>
            </w:r>
          </w:p>
        </w:tc>
        <w:tc>
          <w:tcPr>
            <w:tcW w:type="dxa" w:w="1075"/>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Read</w:t>
            </w:r>
          </w:p>
        </w:tc>
        <w:tc>
          <w:tcPr>
            <w:tcW w:type="dxa" w:w="801"/>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2</w:t>
            </w:r>
          </w:p>
        </w:tc>
      </w:tr>
      <w:tr>
        <w:trPr>
          <w:cantSplit/>
          <w:tblHeader w:val="false"/>
        </w:trPr>
        <w:tc>
          <w:tcPr>
            <w:tcW w:type="dxa" w:w="1696"/>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Collaboration tool (chat copilot)</w:t>
            </w:r>
          </w:p>
        </w:tc>
        <w:tc>
          <w:tcPr>
            <w:tcW w:type="dxa" w:w="12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IT</w:t>
            </w:r>
          </w:p>
        </w:tc>
        <w:tc>
          <w:tcPr>
            <w:tcW w:type="dxa" w:w="270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The engagement manager’s entry point, in Slack or Teams</w:t>
            </w:r>
          </w:p>
        </w:tc>
        <w:tc>
          <w:tcPr>
            <w:tcW w:type="dxa" w:w="18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Chat app</w:t>
            </w:r>
          </w:p>
        </w:tc>
        <w:tc>
          <w:tcPr>
            <w:tcW w:type="dxa" w:w="1075"/>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Channel only</w:t>
            </w:r>
          </w:p>
        </w:tc>
        <w:tc>
          <w:tcPr>
            <w:tcW w:type="dxa" w:w="801"/>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1</w:t>
            </w:r>
          </w:p>
        </w:tc>
      </w:tr>
    </w:tbl>
    <w:p>
      <w:pPr>
        <w:spacing w:after="120"/>
      </w:pPr>
    </w:p>
    <w:p>
      <w:pPr>
        <w:pStyle w:val="Heading3"/>
        <w:keepNext/>
      </w:pPr>
      <w:r>
        <w:rPr>
          <w:rFonts w:ascii="Calibri" w:cs="Calibri" w:eastAsia="Calibri" w:hAnsi="Calibri"/>
        </w:rPr>
        <w:t xml:space="preserve">T3b. Data assets and master data</w:t>
      </w:r>
    </w:p>
    <w:tbl>
      <w:tblPr>
        <w:tblW w:type="dxa" w:w="9360"/>
        <w:tblBorders>
          <w:top w:val="single" w:color="CBD5E1" w:sz="4"/>
          <w:left w:val="single" w:color="CBD5E1" w:sz="4"/>
          <w:bottom w:val="single" w:color="CBD5E1" w:sz="4"/>
          <w:right w:val="single" w:color="CBD5E1" w:sz="4"/>
          <w:insideH w:val="single" w:color="CBD5E1" w:sz="4"/>
          <w:insideV w:val="single" w:color="CBD5E1" w:sz="4"/>
        </w:tblBorders>
        <w:tblLayout w:type="fixed"/>
      </w:tblPr>
      <w:tblGrid>
        <w:gridCol w:w="1584"/>
        <w:gridCol w:w="1526"/>
        <w:gridCol w:w="1240"/>
        <w:gridCol w:w="2513"/>
        <w:gridCol w:w="1472"/>
        <w:gridCol w:w="1025"/>
      </w:tblGrid>
      <w:tr>
        <w:trPr>
          <w:cantSplit/>
          <w:tblHeader/>
        </w:trPr>
        <w:tc>
          <w:tcPr>
            <w:tcW w:type="dxa" w:w="1584"/>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Data asset</w:t>
            </w:r>
          </w:p>
        </w:tc>
        <w:tc>
          <w:tcPr>
            <w:tcW w:type="dxa" w:w="1526"/>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System of record</w:t>
            </w:r>
          </w:p>
        </w:tc>
        <w:tc>
          <w:tcPr>
            <w:tcW w:type="dxa" w:w="1240"/>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Golden record today?</w:t>
            </w:r>
          </w:p>
        </w:tc>
        <w:tc>
          <w:tcPr>
            <w:tcW w:type="dxa" w:w="2513"/>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Quality and risk notes</w:t>
            </w:r>
          </w:p>
        </w:tc>
        <w:tc>
          <w:tcPr>
            <w:tcW w:type="dxa" w:w="1472"/>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Sensitivity</w:t>
            </w:r>
          </w:p>
        </w:tc>
        <w:tc>
          <w:tcPr>
            <w:tcW w:type="dxa" w:w="1025"/>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Owner or steward</w:t>
            </w:r>
          </w:p>
        </w:tc>
      </w:tr>
      <w:tr>
        <w:trPr>
          <w:cantSplit/>
          <w:tblHeader w:val="false"/>
        </w:trPr>
        <w:tc>
          <w:tcPr>
            <w:tcW w:type="dxa" w:w="1584"/>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Client and legal-entity master</w:t>
            </w:r>
          </w:p>
        </w:tc>
        <w:tc>
          <w:tcPr>
            <w:tcW w:type="dxa" w:w="1526"/>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Master data hub, fed by the CRM, SAP and the independence system</w:t>
            </w:r>
          </w:p>
        </w:tc>
        <w:tc>
          <w:tcPr>
            <w:tcW w:type="dxa" w:w="12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To extend</w:t>
            </w:r>
          </w:p>
        </w:tc>
        <w:tc>
          <w:tcPr>
            <w:tcW w:type="dxa" w:w="2513"/>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 missed subsidiary is a missed conflict: hierarchy freshness, duplicate entities, missing LEI or tax IDs</w:t>
            </w:r>
          </w:p>
        </w:tc>
        <w:tc>
          <w:tcPr>
            <w:tcW w:type="dxa" w:w="1472"/>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Confidential</w:t>
            </w:r>
          </w:p>
        </w:tc>
        <w:tc>
          <w:tcPr>
            <w:tcW w:type="dxa" w:w="1025"/>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Risk &amp; Quality data steward</w:t>
            </w:r>
          </w:p>
        </w:tc>
      </w:tr>
      <w:tr>
        <w:trPr>
          <w:cantSplit/>
          <w:tblHeader w:val="false"/>
        </w:trPr>
        <w:tc>
          <w:tcPr>
            <w:tcW w:type="dxa" w:w="1584"/>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Restricted-entity list</w:t>
            </w:r>
          </w:p>
        </w:tc>
        <w:tc>
          <w:tcPr>
            <w:tcW w:type="dxa" w:w="1526"/>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Independence system</w:t>
            </w:r>
          </w:p>
        </w:tc>
        <w:tc>
          <w:tcPr>
            <w:tcW w:type="dxa" w:w="12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Yes</w:t>
            </w:r>
          </w:p>
        </w:tc>
        <w:tc>
          <w:tcPr>
            <w:tcW w:type="dxa" w:w="2513"/>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Must link to the client master</w:t>
            </w:r>
          </w:p>
        </w:tc>
        <w:tc>
          <w:tcPr>
            <w:tcW w:type="dxa" w:w="1472"/>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Restricted</w:t>
            </w:r>
          </w:p>
        </w:tc>
        <w:tc>
          <w:tcPr>
            <w:tcW w:type="dxa" w:w="1025"/>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Risk &amp; Quality</w:t>
            </w:r>
          </w:p>
        </w:tc>
      </w:tr>
      <w:tr>
        <w:trPr>
          <w:cantSplit/>
          <w:tblHeader w:val="false"/>
        </w:trPr>
        <w:tc>
          <w:tcPr>
            <w:tcW w:type="dxa" w:w="1584"/>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Worker master</w:t>
            </w:r>
          </w:p>
        </w:tc>
        <w:tc>
          <w:tcPr>
            <w:tcW w:type="dxa" w:w="1526"/>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Workday (system of record), cross-referenced in MDM</w:t>
            </w:r>
          </w:p>
        </w:tc>
        <w:tc>
          <w:tcPr>
            <w:tcW w:type="dxa" w:w="12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Partly</w:t>
            </w:r>
          </w:p>
        </w:tc>
        <w:tc>
          <w:tcPr>
            <w:tcW w:type="dxa" w:w="2513"/>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Worker IDs differ across the CRM, SAP and the independence system</w:t>
            </w:r>
          </w:p>
        </w:tc>
        <w:tc>
          <w:tcPr>
            <w:tcW w:type="dxa" w:w="1472"/>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Confidential (personal data)</w:t>
            </w:r>
          </w:p>
        </w:tc>
        <w:tc>
          <w:tcPr>
            <w:tcW w:type="dxa" w:w="1025"/>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Talent</w:t>
            </w:r>
          </w:p>
        </w:tc>
      </w:tr>
      <w:tr>
        <w:trPr>
          <w:cantSplit/>
          <w:tblHeader w:val="false"/>
        </w:trPr>
        <w:tc>
          <w:tcPr>
            <w:tcW w:type="dxa" w:w="1584"/>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Engagement master</w:t>
            </w:r>
          </w:p>
        </w:tc>
        <w:tc>
          <w:tcPr>
            <w:tcW w:type="dxa" w:w="1526"/>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Master data hub</w:t>
            </w:r>
          </w:p>
        </w:tc>
        <w:tc>
          <w:tcPr>
            <w:tcW w:type="dxa" w:w="12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New</w:t>
            </w:r>
          </w:p>
        </w:tc>
        <w:tc>
          <w:tcPr>
            <w:tcW w:type="dxa" w:w="2513"/>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One engagement ID for the opportunity, the independence case, the letter and the SAP project</w:t>
            </w:r>
          </w:p>
        </w:tc>
        <w:tc>
          <w:tcPr>
            <w:tcW w:type="dxa" w:w="1472"/>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Confidential</w:t>
            </w:r>
          </w:p>
        </w:tc>
        <w:tc>
          <w:tcPr>
            <w:tcW w:type="dxa" w:w="1025"/>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Finance</w:t>
            </w:r>
          </w:p>
        </w:tc>
      </w:tr>
      <w:tr>
        <w:trPr>
          <w:cantSplit/>
          <w:tblHeader w:val="false"/>
        </w:trPr>
        <w:tc>
          <w:tcPr>
            <w:tcW w:type="dxa" w:w="1584"/>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Reference data: service catalog, rate cards</w:t>
            </w:r>
          </w:p>
        </w:tc>
        <w:tc>
          <w:tcPr>
            <w:tcW w:type="dxa" w:w="1526"/>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SAP S/4HANA</w:t>
            </w:r>
          </w:p>
          <w:p>
            <w:pPr>
              <w:spacing w:after="0" w:before="0" w:line="252"/>
            </w:pPr>
            <w:r>
              <w:rPr>
                <w:rFonts w:ascii="Calibri" w:cs="Calibri" w:eastAsia="Calibri" w:hAnsi="Calibri"/>
                <w:sz w:val="18"/>
                <w:szCs w:val="18"/>
              </w:rPr>
              <w:t xml:space="preserve">Service catalog</w:t>
            </w:r>
          </w:p>
        </w:tc>
        <w:tc>
          <w:tcPr>
            <w:tcW w:type="dxa" w:w="12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Partly</w:t>
            </w:r>
          </w:p>
        </w:tc>
        <w:tc>
          <w:tcPr>
            <w:tcW w:type="dxa" w:w="2513"/>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Effective dates must be respected</w:t>
            </w:r>
          </w:p>
        </w:tc>
        <w:tc>
          <w:tcPr>
            <w:tcW w:type="dxa" w:w="1472"/>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Internal</w:t>
            </w:r>
          </w:p>
        </w:tc>
        <w:tc>
          <w:tcPr>
            <w:tcW w:type="dxa" w:w="1025"/>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Finance</w:t>
            </w:r>
          </w:p>
        </w:tc>
      </w:tr>
      <w:tr>
        <w:trPr>
          <w:cantSplit/>
          <w:tblHeader w:val="false"/>
        </w:trPr>
        <w:tc>
          <w:tcPr>
            <w:tcW w:type="dxa" w:w="1584"/>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Independence declarations</w:t>
            </w:r>
          </w:p>
        </w:tc>
        <w:tc>
          <w:tcPr>
            <w:tcW w:type="dxa" w:w="1526"/>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Independence system</w:t>
            </w:r>
          </w:p>
        </w:tc>
        <w:tc>
          <w:tcPr>
            <w:tcW w:type="dxa" w:w="12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Yes</w:t>
            </w:r>
          </w:p>
        </w:tc>
        <w:tc>
          <w:tcPr>
            <w:tcW w:type="dxa" w:w="2513"/>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Personal financial interests: field-level encryption or tokenization</w:t>
            </w:r>
          </w:p>
          <w:p>
            <w:pPr>
              <w:spacing w:after="0" w:before="0" w:line="252"/>
            </w:pPr>
            <w:r>
              <w:rPr>
                <w:rFonts w:ascii="Calibri" w:cs="Calibri" w:eastAsia="Calibri" w:hAnsi="Calibri"/>
                <w:sz w:val="18"/>
                <w:szCs w:val="18"/>
              </w:rPr>
              <w:t xml:space="preserve">Others see a yes or no clearance only</w:t>
            </w:r>
          </w:p>
        </w:tc>
        <w:tc>
          <w:tcPr>
            <w:tcW w:type="dxa" w:w="1472"/>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Restricted</w:t>
            </w:r>
          </w:p>
        </w:tc>
        <w:tc>
          <w:tcPr>
            <w:tcW w:type="dxa" w:w="1025"/>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Risk &amp; Quality</w:t>
            </w:r>
          </w:p>
        </w:tc>
      </w:tr>
      <w:tr>
        <w:trPr>
          <w:cantSplit/>
          <w:tblHeader w:val="false"/>
        </w:trPr>
        <w:tc>
          <w:tcPr>
            <w:tcW w:type="dxa" w:w="1584"/>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Templates, clauses and precedent</w:t>
            </w:r>
          </w:p>
        </w:tc>
        <w:tc>
          <w:tcPr>
            <w:tcW w:type="dxa" w:w="1526"/>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Document management and knowledge base</w:t>
            </w:r>
          </w:p>
        </w:tc>
        <w:tc>
          <w:tcPr>
            <w:tcW w:type="dxa" w:w="12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Not applicable</w:t>
            </w:r>
          </w:p>
        </w:tc>
        <w:tc>
          <w:tcPr>
            <w:tcW w:type="dxa" w:w="2513"/>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Approved templates only</w:t>
            </w:r>
          </w:p>
          <w:p>
            <w:pPr>
              <w:spacing w:after="0" w:before="0" w:line="252"/>
            </w:pPr>
            <w:r>
              <w:rPr>
                <w:rFonts w:ascii="Calibri" w:cs="Calibri" w:eastAsia="Calibri" w:hAnsi="Calibri"/>
                <w:sz w:val="18"/>
                <w:szCs w:val="18"/>
              </w:rPr>
              <w:t xml:space="preserve">Information barriers between engagements</w:t>
            </w:r>
          </w:p>
        </w:tc>
        <w:tc>
          <w:tcPr>
            <w:tcW w:type="dxa" w:w="1472"/>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Confidential</w:t>
            </w:r>
          </w:p>
        </w:tc>
        <w:tc>
          <w:tcPr>
            <w:tcW w:type="dxa" w:w="1025"/>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Risk &amp; Quality</w:t>
            </w:r>
          </w:p>
        </w:tc>
      </w:tr>
      <w:tr>
        <w:trPr>
          <w:cantSplit/>
          <w:tblHeader w:val="false"/>
        </w:trPr>
        <w:tc>
          <w:tcPr>
            <w:tcW w:type="dxa" w:w="1584"/>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Historical engagement economics</w:t>
            </w:r>
          </w:p>
        </w:tc>
        <w:tc>
          <w:tcPr>
            <w:tcW w:type="dxa" w:w="1526"/>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Snowflake semantic views</w:t>
            </w:r>
          </w:p>
        </w:tc>
        <w:tc>
          <w:tcPr>
            <w:tcW w:type="dxa" w:w="12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Not applicable</w:t>
            </w:r>
          </w:p>
        </w:tc>
        <w:tc>
          <w:tcPr>
            <w:tcW w:type="dxa" w:w="2513"/>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Shared metric definitions (realization, utilization)</w:t>
            </w:r>
          </w:p>
        </w:tc>
        <w:tc>
          <w:tcPr>
            <w:tcW w:type="dxa" w:w="1472"/>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Confidential</w:t>
            </w:r>
          </w:p>
        </w:tc>
        <w:tc>
          <w:tcPr>
            <w:tcW w:type="dxa" w:w="1025"/>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Finance</w:t>
            </w:r>
          </w:p>
        </w:tc>
      </w:tr>
    </w:tbl>
    <w:p>
      <w:pPr>
        <w:spacing w:after="120"/>
      </w:pPr>
    </w:p>
    <w:p>
      <w:pPr>
        <w:pStyle w:val="Heading3"/>
        <w:keepNext/>
      </w:pPr>
      <w:r>
        <w:rPr>
          <w:rFonts w:ascii="Calibri" w:cs="Calibri" w:eastAsia="Calibri" w:hAnsi="Calibri"/>
        </w:rPr>
        <w:t xml:space="preserve">T3c. Integrations, APIs, events and MCP tools</w:t>
      </w:r>
    </w:p>
    <w:tbl>
      <w:tblPr>
        <w:tblW w:type="dxa" w:w="9360"/>
        <w:tblBorders>
          <w:top w:val="single" w:color="CBD5E1" w:sz="4"/>
          <w:left w:val="single" w:color="CBD5E1" w:sz="4"/>
          <w:bottom w:val="single" w:color="CBD5E1" w:sz="4"/>
          <w:right w:val="single" w:color="CBD5E1" w:sz="4"/>
          <w:insideH w:val="single" w:color="CBD5E1" w:sz="4"/>
          <w:insideV w:val="single" w:color="CBD5E1" w:sz="4"/>
        </w:tblBorders>
        <w:tblLayout w:type="fixed"/>
      </w:tblPr>
      <w:tblGrid>
        <w:gridCol w:w="2480"/>
        <w:gridCol w:w="1440"/>
        <w:gridCol w:w="2061"/>
        <w:gridCol w:w="940"/>
        <w:gridCol w:w="998"/>
        <w:gridCol w:w="1441"/>
      </w:tblGrid>
      <w:tr>
        <w:trPr>
          <w:cantSplit/>
          <w:tblHeader/>
        </w:trPr>
        <w:tc>
          <w:tcPr>
            <w:tcW w:type="dxa" w:w="2480"/>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Tool or interface</w:t>
            </w:r>
          </w:p>
        </w:tc>
        <w:tc>
          <w:tcPr>
            <w:tcW w:type="dxa" w:w="1440"/>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System</w:t>
            </w:r>
          </w:p>
        </w:tc>
        <w:tc>
          <w:tcPr>
            <w:tcW w:type="dxa" w:w="2061"/>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Operation</w:t>
            </w:r>
          </w:p>
        </w:tc>
        <w:tc>
          <w:tcPr>
            <w:tcW w:type="dxa" w:w="940"/>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Scope</w:t>
            </w:r>
          </w:p>
        </w:tc>
        <w:tc>
          <w:tcPr>
            <w:tcW w:type="dxa" w:w="998"/>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Exists or to build</w:t>
            </w:r>
          </w:p>
        </w:tc>
        <w:tc>
          <w:tcPr>
            <w:tcW w:type="dxa" w:w="1441"/>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Used by</w:t>
            </w:r>
          </w:p>
        </w:tc>
      </w:tr>
      <w:tr>
        <w:trPr>
          <w:cantSplit/>
          <w:tblHeader w:val="false"/>
        </w:trPr>
        <w:tc>
          <w:tcPr>
            <w:tcW w:type="dxa" w:w="2480"/>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Verbal-win event</w:t>
            </w:r>
          </w:p>
        </w:tc>
        <w:tc>
          <w:tcPr>
            <w:tcW w:type="dxa" w:w="14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CRM</w:t>
            </w:r>
          </w:p>
        </w:tc>
        <w:tc>
          <w:tcPr>
            <w:tcW w:type="dxa" w:w="2061"/>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Start the launch</w:t>
            </w:r>
          </w:p>
        </w:tc>
        <w:tc>
          <w:tcPr>
            <w:tcW w:type="dxa" w:w="9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Event</w:t>
            </w:r>
          </w:p>
        </w:tc>
        <w:tc>
          <w:tcPr>
            <w:tcW w:type="dxa" w:w="99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Exists</w:t>
            </w:r>
          </w:p>
        </w:tc>
        <w:tc>
          <w:tcPr>
            <w:tcW w:type="dxa" w:w="1441"/>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Launch Orchestrator</w:t>
            </w:r>
          </w:p>
        </w:tc>
      </w:tr>
      <w:tr>
        <w:trPr>
          <w:cantSplit/>
          <w:tblHeader w:val="false"/>
        </w:trPr>
        <w:tc>
          <w:tcPr>
            <w:tcW w:type="dxa" w:w="2480"/>
            <w:tcMar>
              <w:top w:type="dxa" w:w="60"/>
              <w:left w:type="dxa" w:w="100"/>
              <w:bottom w:type="dxa" w:w="60"/>
              <w:right w:type="dxa" w:w="100"/>
            </w:tcMar>
            <w:vAlign w:val="top"/>
          </w:tcPr>
          <w:p>
            <w:pPr>
              <w:spacing w:after="80" w:before="0" w:line="252"/>
            </w:pPr>
            <w:r>
              <w:rPr>
                <w:rFonts w:ascii="Calibri" w:cs="Calibri" w:eastAsia="Calibri" w:hAnsi="Calibri"/>
                <w:b/>
                <w:bCs/>
                <w:sz w:val="18"/>
                <w:szCs w:val="18"/>
              </w:rPr>
              <w:t xml:space="preserve">resolve_entity</w:t>
            </w:r>
          </w:p>
          <w:p>
            <w:pPr>
              <w:spacing w:after="0" w:before="0" w:line="252"/>
            </w:pPr>
            <w:r>
              <w:rPr>
                <w:rFonts w:ascii="Calibri" w:cs="Calibri" w:eastAsia="Calibri" w:hAnsi="Calibri"/>
                <w:b/>
                <w:bCs/>
                <w:sz w:val="18"/>
                <w:szCs w:val="18"/>
              </w:rPr>
              <w:t xml:space="preserve">get_hierarchy</w:t>
            </w:r>
          </w:p>
        </w:tc>
        <w:tc>
          <w:tcPr>
            <w:tcW w:type="dxa" w:w="14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Master data hub</w:t>
            </w:r>
          </w:p>
        </w:tc>
        <w:tc>
          <w:tcPr>
            <w:tcW w:type="dxa" w:w="2061"/>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Match the client and return hierarchy and identifiers</w:t>
            </w:r>
          </w:p>
        </w:tc>
        <w:tc>
          <w:tcPr>
            <w:tcW w:type="dxa" w:w="9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Read</w:t>
            </w:r>
          </w:p>
        </w:tc>
        <w:tc>
          <w:tcPr>
            <w:tcW w:type="dxa" w:w="99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New MCP tools</w:t>
            </w:r>
          </w:p>
        </w:tc>
        <w:tc>
          <w:tcPr>
            <w:tcW w:type="dxa" w:w="1441"/>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Entity Resolution</w:t>
            </w:r>
          </w:p>
        </w:tc>
      </w:tr>
      <w:tr>
        <w:trPr>
          <w:cantSplit/>
          <w:tblHeader w:val="false"/>
        </w:trPr>
        <w:tc>
          <w:tcPr>
            <w:tcW w:type="dxa" w:w="2480"/>
            <w:tcMar>
              <w:top w:type="dxa" w:w="60"/>
              <w:left w:type="dxa" w:w="100"/>
              <w:bottom w:type="dxa" w:w="60"/>
              <w:right w:type="dxa" w:w="100"/>
            </w:tcMar>
            <w:vAlign w:val="top"/>
          </w:tcPr>
          <w:p>
            <w:pPr>
              <w:spacing w:after="80" w:before="0" w:line="252"/>
            </w:pPr>
            <w:r>
              <w:rPr>
                <w:rFonts w:ascii="Calibri" w:cs="Calibri" w:eastAsia="Calibri" w:hAnsi="Calibri"/>
                <w:b/>
                <w:bCs/>
                <w:sz w:val="18"/>
                <w:szCs w:val="18"/>
              </w:rPr>
              <w:t xml:space="preserve">search_restricted</w:t>
            </w:r>
          </w:p>
          <w:p>
            <w:pPr>
              <w:spacing w:after="80" w:before="0" w:line="252"/>
            </w:pPr>
            <w:r>
              <w:rPr>
                <w:rFonts w:ascii="Calibri" w:cs="Calibri" w:eastAsia="Calibri" w:hAnsi="Calibri"/>
                <w:b/>
                <w:bCs/>
                <w:sz w:val="18"/>
                <w:szCs w:val="18"/>
              </w:rPr>
              <w:t xml:space="preserve">check_services</w:t>
            </w:r>
          </w:p>
          <w:p>
            <w:pPr>
              <w:spacing w:after="0" w:before="0" w:line="252"/>
            </w:pPr>
            <w:r>
              <w:rPr>
                <w:rFonts w:ascii="Calibri" w:cs="Calibri" w:eastAsia="Calibri" w:hAnsi="Calibri"/>
                <w:b/>
                <w:bCs/>
                <w:sz w:val="18"/>
                <w:szCs w:val="18"/>
              </w:rPr>
              <w:t xml:space="preserve">get_relationships</w:t>
            </w:r>
          </w:p>
        </w:tc>
        <w:tc>
          <w:tcPr>
            <w:tcW w:type="dxa" w:w="14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Independence system</w:t>
            </w:r>
          </w:p>
        </w:tc>
        <w:tc>
          <w:tcPr>
            <w:tcW w:type="dxa" w:w="2061"/>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Conflict and independence searches</w:t>
            </w:r>
          </w:p>
        </w:tc>
        <w:tc>
          <w:tcPr>
            <w:tcW w:type="dxa" w:w="9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Read</w:t>
            </w:r>
          </w:p>
        </w:tc>
        <w:tc>
          <w:tcPr>
            <w:tcW w:type="dxa" w:w="99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To build</w:t>
            </w:r>
          </w:p>
        </w:tc>
        <w:tc>
          <w:tcPr>
            <w:tcW w:type="dxa" w:w="1441"/>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Conflicts &amp; Independence</w:t>
            </w:r>
          </w:p>
        </w:tc>
      </w:tr>
      <w:tr>
        <w:trPr>
          <w:cantSplit/>
          <w:tblHeader w:val="false"/>
        </w:trPr>
        <w:tc>
          <w:tcPr>
            <w:tcW w:type="dxa" w:w="2480"/>
            <w:tcMar>
              <w:top w:type="dxa" w:w="60"/>
              <w:left w:type="dxa" w:w="100"/>
              <w:bottom w:type="dxa" w:w="60"/>
              <w:right w:type="dxa" w:w="100"/>
            </w:tcMar>
            <w:vAlign w:val="top"/>
          </w:tcPr>
          <w:p>
            <w:pPr>
              <w:spacing w:after="80" w:before="0" w:line="252"/>
            </w:pPr>
            <w:r>
              <w:rPr>
                <w:rFonts w:ascii="Calibri" w:cs="Calibri" w:eastAsia="Calibri" w:hAnsi="Calibri"/>
                <w:b/>
                <w:bCs/>
                <w:sz w:val="18"/>
                <w:szCs w:val="18"/>
              </w:rPr>
              <w:t xml:space="preserve">search_knowledge</w:t>
            </w:r>
          </w:p>
          <w:p>
            <w:pPr>
              <w:spacing w:after="0" w:before="0" w:line="252"/>
            </w:pPr>
            <w:r>
              <w:rPr>
                <w:rFonts w:ascii="Calibri" w:cs="Calibri" w:eastAsia="Calibri" w:hAnsi="Calibri"/>
                <w:b/>
                <w:bCs/>
                <w:sz w:val="18"/>
                <w:szCs w:val="18"/>
              </w:rPr>
              <w:t xml:space="preserve">get_template</w:t>
            </w:r>
          </w:p>
        </w:tc>
        <w:tc>
          <w:tcPr>
            <w:tcW w:type="dxa" w:w="14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Document management and knowledge base</w:t>
            </w:r>
          </w:p>
        </w:tc>
        <w:tc>
          <w:tcPr>
            <w:tcW w:type="dxa" w:w="2061"/>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Precedent and approved templates</w:t>
            </w:r>
          </w:p>
        </w:tc>
        <w:tc>
          <w:tcPr>
            <w:tcW w:type="dxa" w:w="9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Read</w:t>
            </w:r>
          </w:p>
        </w:tc>
        <w:tc>
          <w:tcPr>
            <w:tcW w:type="dxa" w:w="99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To build</w:t>
            </w:r>
          </w:p>
        </w:tc>
        <w:tc>
          <w:tcPr>
            <w:tcW w:type="dxa" w:w="1441"/>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Scoping &amp; Letter</w:t>
            </w:r>
          </w:p>
        </w:tc>
      </w:tr>
      <w:tr>
        <w:trPr>
          <w:cantSplit/>
          <w:tblHeader w:val="false"/>
        </w:trPr>
        <w:tc>
          <w:tcPr>
            <w:tcW w:type="dxa" w:w="2480"/>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create_document</w:t>
            </w:r>
          </w:p>
        </w:tc>
        <w:tc>
          <w:tcPr>
            <w:tcW w:type="dxa" w:w="14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Document management</w:t>
            </w:r>
          </w:p>
        </w:tc>
        <w:tc>
          <w:tcPr>
            <w:tcW w:type="dxa" w:w="2061"/>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Create the draft letter</w:t>
            </w:r>
          </w:p>
        </w:tc>
        <w:tc>
          <w:tcPr>
            <w:tcW w:type="dxa" w:w="9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Write (drafts only)</w:t>
            </w:r>
          </w:p>
        </w:tc>
        <w:tc>
          <w:tcPr>
            <w:tcW w:type="dxa" w:w="99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To build</w:t>
            </w:r>
          </w:p>
        </w:tc>
        <w:tc>
          <w:tcPr>
            <w:tcW w:type="dxa" w:w="1441"/>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Scoping &amp; Letter</w:t>
            </w:r>
          </w:p>
        </w:tc>
      </w:tr>
      <w:tr>
        <w:trPr>
          <w:cantSplit/>
          <w:tblHeader w:val="false"/>
        </w:trPr>
        <w:tc>
          <w:tcPr>
            <w:tcW w:type="dxa" w:w="2480"/>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get_rate_card</w:t>
            </w:r>
          </w:p>
        </w:tc>
        <w:tc>
          <w:tcPr>
            <w:tcW w:type="dxa" w:w="14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SAP S/4HANA</w:t>
            </w:r>
          </w:p>
        </w:tc>
        <w:tc>
          <w:tcPr>
            <w:tcW w:type="dxa" w:w="2061"/>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Rate cards</w:t>
            </w:r>
          </w:p>
        </w:tc>
        <w:tc>
          <w:tcPr>
            <w:tcW w:type="dxa" w:w="9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Read</w:t>
            </w:r>
          </w:p>
        </w:tc>
        <w:tc>
          <w:tcPr>
            <w:tcW w:type="dxa" w:w="99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To build</w:t>
            </w:r>
          </w:p>
        </w:tc>
        <w:tc>
          <w:tcPr>
            <w:tcW w:type="dxa" w:w="1441"/>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Pricing &amp; Budget</w:t>
            </w:r>
          </w:p>
        </w:tc>
      </w:tr>
      <w:tr>
        <w:trPr>
          <w:cantSplit/>
          <w:tblHeader w:val="false"/>
        </w:trPr>
        <w:tc>
          <w:tcPr>
            <w:tcW w:type="dxa" w:w="2480"/>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query_actuals</w:t>
            </w:r>
          </w:p>
        </w:tc>
        <w:tc>
          <w:tcPr>
            <w:tcW w:type="dxa" w:w="14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Snowflake</w:t>
            </w:r>
          </w:p>
        </w:tc>
        <w:tc>
          <w:tcPr>
            <w:tcW w:type="dxa" w:w="2061"/>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Historical actuals through a semantic view</w:t>
            </w:r>
          </w:p>
        </w:tc>
        <w:tc>
          <w:tcPr>
            <w:tcW w:type="dxa" w:w="9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Read</w:t>
            </w:r>
          </w:p>
        </w:tc>
        <w:tc>
          <w:tcPr>
            <w:tcW w:type="dxa" w:w="99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To build</w:t>
            </w:r>
          </w:p>
        </w:tc>
        <w:tc>
          <w:tcPr>
            <w:tcW w:type="dxa" w:w="1441"/>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Pricing &amp; Budget</w:t>
            </w:r>
          </w:p>
        </w:tc>
      </w:tr>
      <w:tr>
        <w:trPr>
          <w:cantSplit/>
          <w:tblHeader w:val="false"/>
        </w:trPr>
        <w:tc>
          <w:tcPr>
            <w:tcW w:type="dxa" w:w="2480"/>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find_available_staff</w:t>
            </w:r>
          </w:p>
        </w:tc>
        <w:tc>
          <w:tcPr>
            <w:tcW w:type="dxa" w:w="14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Workday HCM</w:t>
            </w:r>
          </w:p>
        </w:tc>
        <w:tc>
          <w:tcPr>
            <w:tcW w:type="dxa" w:w="2061"/>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Skills, availability and location</w:t>
            </w:r>
          </w:p>
        </w:tc>
        <w:tc>
          <w:tcPr>
            <w:tcW w:type="dxa" w:w="9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Read</w:t>
            </w:r>
          </w:p>
        </w:tc>
        <w:tc>
          <w:tcPr>
            <w:tcW w:type="dxa" w:w="99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To build</w:t>
            </w:r>
          </w:p>
        </w:tc>
        <w:tc>
          <w:tcPr>
            <w:tcW w:type="dxa" w:w="1441"/>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Staffing</w:t>
            </w:r>
          </w:p>
        </w:tc>
      </w:tr>
      <w:tr>
        <w:trPr>
          <w:cantSplit/>
          <w:tblHeader w:val="false"/>
        </w:trPr>
        <w:tc>
          <w:tcPr>
            <w:tcW w:type="dxa" w:w="2480"/>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get_clearance_flag</w:t>
            </w:r>
          </w:p>
        </w:tc>
        <w:tc>
          <w:tcPr>
            <w:tcW w:type="dxa" w:w="14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Independence system</w:t>
            </w:r>
          </w:p>
        </w:tc>
        <w:tc>
          <w:tcPr>
            <w:tcW w:type="dxa" w:w="2061"/>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Yes or no clearance for a person and client</w:t>
            </w:r>
          </w:p>
        </w:tc>
        <w:tc>
          <w:tcPr>
            <w:tcW w:type="dxa" w:w="9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Read (yes or no only)</w:t>
            </w:r>
          </w:p>
        </w:tc>
        <w:tc>
          <w:tcPr>
            <w:tcW w:type="dxa" w:w="99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To build</w:t>
            </w:r>
          </w:p>
        </w:tc>
        <w:tc>
          <w:tcPr>
            <w:tcW w:type="dxa" w:w="1441"/>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Staffing</w:t>
            </w:r>
          </w:p>
        </w:tc>
      </w:tr>
      <w:tr>
        <w:trPr>
          <w:cantSplit/>
          <w:tblHeader w:val="false"/>
        </w:trPr>
        <w:tc>
          <w:tcPr>
            <w:tcW w:type="dxa" w:w="2480"/>
            <w:tcMar>
              <w:top w:type="dxa" w:w="60"/>
              <w:left w:type="dxa" w:w="100"/>
              <w:bottom w:type="dxa" w:w="60"/>
              <w:right w:type="dxa" w:w="100"/>
            </w:tcMar>
            <w:vAlign w:val="top"/>
          </w:tcPr>
          <w:p>
            <w:pPr>
              <w:spacing w:after="80" w:before="0" w:line="252"/>
            </w:pPr>
            <w:r>
              <w:rPr>
                <w:rFonts w:ascii="Calibri" w:cs="Calibri" w:eastAsia="Calibri" w:hAnsi="Calibri"/>
                <w:b/>
                <w:bCs/>
                <w:sz w:val="18"/>
                <w:szCs w:val="18"/>
              </w:rPr>
              <w:t xml:space="preserve">create_project</w:t>
            </w:r>
          </w:p>
          <w:p>
            <w:pPr>
              <w:spacing w:after="80" w:before="0" w:line="252"/>
            </w:pPr>
            <w:r>
              <w:rPr>
                <w:rFonts w:ascii="Calibri" w:cs="Calibri" w:eastAsia="Calibri" w:hAnsi="Calibri"/>
                <w:b/>
                <w:bCs/>
                <w:sz w:val="18"/>
                <w:szCs w:val="18"/>
              </w:rPr>
              <w:t xml:space="preserve">create_wbs</w:t>
            </w:r>
          </w:p>
          <w:p>
            <w:pPr>
              <w:spacing w:after="0" w:before="0" w:line="252"/>
            </w:pPr>
            <w:r>
              <w:rPr>
                <w:rFonts w:ascii="Calibri" w:cs="Calibri" w:eastAsia="Calibri" w:hAnsi="Calibri"/>
                <w:b/>
                <w:bCs/>
                <w:sz w:val="18"/>
                <w:szCs w:val="18"/>
              </w:rPr>
              <w:t xml:space="preserve">create_billing_plan</w:t>
            </w:r>
          </w:p>
        </w:tc>
        <w:tc>
          <w:tcPr>
            <w:tcW w:type="dxa" w:w="14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SAP S/4HANA</w:t>
            </w:r>
          </w:p>
        </w:tc>
        <w:tc>
          <w:tcPr>
            <w:tcW w:type="dxa" w:w="2061"/>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Project, WBS, billing plan and charge codes</w:t>
            </w:r>
          </w:p>
        </w:tc>
        <w:tc>
          <w:tcPr>
            <w:tcW w:type="dxa" w:w="9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Write, policy-gated</w:t>
            </w:r>
          </w:p>
        </w:tc>
        <w:tc>
          <w:tcPr>
            <w:tcW w:type="dxa" w:w="99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To build (phase 3)</w:t>
            </w:r>
          </w:p>
        </w:tc>
        <w:tc>
          <w:tcPr>
            <w:tcW w:type="dxa" w:w="1441"/>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Engagement Setup</w:t>
            </w:r>
          </w:p>
        </w:tc>
      </w:tr>
      <w:tr>
        <w:trPr>
          <w:cantSplit/>
          <w:tblHeader w:val="false"/>
        </w:trPr>
        <w:tc>
          <w:tcPr>
            <w:tcW w:type="dxa" w:w="2480"/>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Signature event</w:t>
            </w:r>
          </w:p>
        </w:tc>
        <w:tc>
          <w:tcPr>
            <w:tcW w:type="dxa" w:w="14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E-signature</w:t>
            </w:r>
          </w:p>
        </w:tc>
        <w:tc>
          <w:tcPr>
            <w:tcW w:type="dxa" w:w="2061"/>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Client signed</w:t>
            </w:r>
          </w:p>
        </w:tc>
        <w:tc>
          <w:tcPr>
            <w:tcW w:type="dxa" w:w="9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Event</w:t>
            </w:r>
          </w:p>
        </w:tc>
        <w:tc>
          <w:tcPr>
            <w:tcW w:type="dxa" w:w="99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Exists</w:t>
            </w:r>
          </w:p>
        </w:tc>
        <w:tc>
          <w:tcPr>
            <w:tcW w:type="dxa" w:w="1441"/>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Launch Orchestrator</w:t>
            </w:r>
          </w:p>
        </w:tc>
      </w:tr>
    </w:tbl>
    <w:p>
      <w:pPr>
        <w:spacing w:after="120"/>
      </w:pPr>
    </w:p>
    <w:p>
      <w:pPr>
        <w:pStyle w:val="Heading3"/>
        <w:keepNext/>
      </w:pPr>
      <w:r>
        <w:rPr>
          <w:rFonts w:ascii="Calibri" w:cs="Calibri" w:eastAsia="Calibri" w:hAnsi="Calibri"/>
        </w:rPr>
        <w:t xml:space="preserve">T3d. Agents</w:t>
      </w:r>
    </w:p>
    <w:tbl>
      <w:tblPr>
        <w:tblW w:type="dxa" w:w="9360"/>
        <w:tblBorders>
          <w:top w:val="single" w:color="CBD5E1" w:sz="4"/>
          <w:left w:val="single" w:color="CBD5E1" w:sz="4"/>
          <w:bottom w:val="single" w:color="CBD5E1" w:sz="4"/>
          <w:right w:val="single" w:color="CBD5E1" w:sz="4"/>
          <w:insideH w:val="single" w:color="CBD5E1" w:sz="4"/>
          <w:insideV w:val="single" w:color="CBD5E1" w:sz="4"/>
        </w:tblBorders>
        <w:tblLayout w:type="fixed"/>
      </w:tblPr>
      <w:tblGrid>
        <w:gridCol w:w="1584"/>
        <w:gridCol w:w="3401"/>
        <w:gridCol w:w="913"/>
        <w:gridCol w:w="1317"/>
        <w:gridCol w:w="1343"/>
        <w:gridCol w:w="802"/>
      </w:tblGrid>
      <w:tr>
        <w:trPr>
          <w:cantSplit/>
          <w:tblHeader/>
        </w:trPr>
        <w:tc>
          <w:tcPr>
            <w:tcW w:type="dxa" w:w="1584"/>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Agent</w:t>
            </w:r>
          </w:p>
        </w:tc>
        <w:tc>
          <w:tcPr>
            <w:tcW w:type="dxa" w:w="3401"/>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Responsibility</w:t>
            </w:r>
          </w:p>
        </w:tc>
        <w:tc>
          <w:tcPr>
            <w:tcW w:type="dxa" w:w="913"/>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Tier</w:t>
            </w:r>
          </w:p>
        </w:tc>
        <w:tc>
          <w:tcPr>
            <w:tcW w:type="dxa" w:w="1317"/>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Human role</w:t>
            </w:r>
          </w:p>
        </w:tc>
        <w:tc>
          <w:tcPr>
            <w:tcW w:type="dxa" w:w="1343"/>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Owner</w:t>
            </w:r>
          </w:p>
        </w:tc>
        <w:tc>
          <w:tcPr>
            <w:tcW w:type="dxa" w:w="802"/>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Phase</w:t>
            </w:r>
          </w:p>
        </w:tc>
      </w:tr>
      <w:tr>
        <w:trPr>
          <w:cantSplit/>
          <w:tblHeader w:val="false"/>
        </w:trPr>
        <w:tc>
          <w:tcPr>
            <w:tcW w:type="dxa" w:w="1584"/>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Launch Orchestrator</w:t>
            </w:r>
          </w:p>
        </w:tc>
        <w:tc>
          <w:tcPr>
            <w:tcW w:type="dxa" w:w="3401"/>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Plans and tracks the launch, delegates tasks over A2A and enforces the regulated sequence</w:t>
            </w:r>
          </w:p>
        </w:tc>
        <w:tc>
          <w:tcPr>
            <w:tcW w:type="dxa" w:w="913"/>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Tier 2</w:t>
            </w:r>
          </w:p>
        </w:tc>
        <w:tc>
          <w:tcPr>
            <w:tcW w:type="dxa" w:w="1317"/>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Sees plan and status</w:t>
            </w:r>
          </w:p>
        </w:tc>
        <w:tc>
          <w:tcPr>
            <w:tcW w:type="dxa" w:w="1343"/>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Practice operations (proposed)</w:t>
            </w:r>
          </w:p>
        </w:tc>
        <w:tc>
          <w:tcPr>
            <w:tcW w:type="dxa" w:w="802"/>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1</w:t>
            </w:r>
          </w:p>
        </w:tc>
      </w:tr>
      <w:tr>
        <w:trPr>
          <w:cantSplit/>
          <w:tblHeader w:val="false"/>
        </w:trPr>
        <w:tc>
          <w:tcPr>
            <w:tcW w:type="dxa" w:w="1584"/>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Entity Resolution</w:t>
            </w:r>
          </w:p>
        </w:tc>
        <w:tc>
          <w:tcPr>
            <w:tcW w:type="dxa" w:w="3401"/>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Matches the client to its MDM golden record and returns hierarchy and identifiers</w:t>
            </w:r>
          </w:p>
        </w:tc>
        <w:tc>
          <w:tcPr>
            <w:tcW w:type="dxa" w:w="913"/>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Tier 2, read-only</w:t>
            </w:r>
          </w:p>
        </w:tc>
        <w:tc>
          <w:tcPr>
            <w:tcW w:type="dxa" w:w="1317"/>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None</w:t>
            </w:r>
          </w:p>
        </w:tc>
        <w:tc>
          <w:tcPr>
            <w:tcW w:type="dxa" w:w="1343"/>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Data governance (proposed)</w:t>
            </w:r>
          </w:p>
        </w:tc>
        <w:tc>
          <w:tcPr>
            <w:tcW w:type="dxa" w:w="802"/>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1</w:t>
            </w:r>
          </w:p>
        </w:tc>
      </w:tr>
      <w:tr>
        <w:trPr>
          <w:cantSplit/>
          <w:tblHeader w:val="false"/>
        </w:trPr>
        <w:tc>
          <w:tcPr>
            <w:tcW w:type="dxa" w:w="1584"/>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Conflicts &amp; Independence</w:t>
            </w:r>
          </w:p>
        </w:tc>
        <w:tc>
          <w:tcPr>
            <w:tcW w:type="dxa" w:w="3401"/>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Runs conflict and independence searches and assembles findings and precedent</w:t>
            </w:r>
          </w:p>
        </w:tc>
        <w:tc>
          <w:tcPr>
            <w:tcW w:type="dxa" w:w="913"/>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Tier 1</w:t>
            </w:r>
          </w:p>
        </w:tc>
        <w:tc>
          <w:tcPr>
            <w:tcW w:type="dxa" w:w="1317"/>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Risk decides</w:t>
            </w:r>
          </w:p>
        </w:tc>
        <w:tc>
          <w:tcPr>
            <w:tcW w:type="dxa" w:w="1343"/>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Risk &amp; Quality</w:t>
            </w:r>
          </w:p>
        </w:tc>
        <w:tc>
          <w:tcPr>
            <w:tcW w:type="dxa" w:w="802"/>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1</w:t>
            </w:r>
          </w:p>
        </w:tc>
      </w:tr>
      <w:tr>
        <w:trPr>
          <w:cantSplit/>
          <w:tblHeader w:val="false"/>
        </w:trPr>
        <w:tc>
          <w:tcPr>
            <w:tcW w:type="dxa" w:w="1584"/>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Scoping &amp; Letter</w:t>
            </w:r>
          </w:p>
        </w:tc>
        <w:tc>
          <w:tcPr>
            <w:tcW w:type="dxa" w:w="3401"/>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Drafts scope and engagement letter from approved templates and clauses</w:t>
            </w:r>
          </w:p>
        </w:tc>
        <w:tc>
          <w:tcPr>
            <w:tcW w:type="dxa" w:w="913"/>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Tier 1</w:t>
            </w:r>
          </w:p>
        </w:tc>
        <w:tc>
          <w:tcPr>
            <w:tcW w:type="dxa" w:w="1317"/>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Manager edits</w:t>
            </w:r>
          </w:p>
          <w:p>
            <w:pPr>
              <w:spacing w:after="0" w:before="0" w:line="252"/>
            </w:pPr>
            <w:r>
              <w:rPr>
                <w:rFonts w:ascii="Calibri" w:cs="Calibri" w:eastAsia="Calibri" w:hAnsi="Calibri"/>
                <w:sz w:val="18"/>
                <w:szCs w:val="18"/>
              </w:rPr>
              <w:t xml:space="preserve">Partner approves</w:t>
            </w:r>
          </w:p>
        </w:tc>
        <w:tc>
          <w:tcPr>
            <w:tcW w:type="dxa" w:w="1343"/>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Risk &amp; Quality (templates)</w:t>
            </w:r>
          </w:p>
        </w:tc>
        <w:tc>
          <w:tcPr>
            <w:tcW w:type="dxa" w:w="802"/>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2</w:t>
            </w:r>
          </w:p>
        </w:tc>
      </w:tr>
      <w:tr>
        <w:trPr>
          <w:cantSplit/>
          <w:tblHeader w:val="false"/>
        </w:trPr>
        <w:tc>
          <w:tcPr>
            <w:tcW w:type="dxa" w:w="1584"/>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Pricing &amp; Budget</w:t>
            </w:r>
          </w:p>
        </w:tc>
        <w:tc>
          <w:tcPr>
            <w:tcW w:type="dxa" w:w="3401"/>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Builds the budget from rate cards and historical actuals and checks margin</w:t>
            </w:r>
          </w:p>
        </w:tc>
        <w:tc>
          <w:tcPr>
            <w:tcW w:type="dxa" w:w="913"/>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Tier 2</w:t>
            </w:r>
          </w:p>
        </w:tc>
        <w:tc>
          <w:tcPr>
            <w:tcW w:type="dxa" w:w="1317"/>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Manager accepts</w:t>
            </w:r>
          </w:p>
        </w:tc>
        <w:tc>
          <w:tcPr>
            <w:tcW w:type="dxa" w:w="1343"/>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Finance (proposed)</w:t>
            </w:r>
          </w:p>
        </w:tc>
        <w:tc>
          <w:tcPr>
            <w:tcW w:type="dxa" w:w="802"/>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2</w:t>
            </w:r>
          </w:p>
        </w:tc>
      </w:tr>
      <w:tr>
        <w:trPr>
          <w:cantSplit/>
          <w:tblHeader w:val="false"/>
        </w:trPr>
        <w:tc>
          <w:tcPr>
            <w:tcW w:type="dxa" w:w="1584"/>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Staffing</w:t>
            </w:r>
          </w:p>
        </w:tc>
        <w:tc>
          <w:tcPr>
            <w:tcW w:type="dxa" w:w="3401"/>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Proposes a team by skills, availability, location and independence clearance</w:t>
            </w:r>
          </w:p>
        </w:tc>
        <w:tc>
          <w:tcPr>
            <w:tcW w:type="dxa" w:w="913"/>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Tier 2</w:t>
            </w:r>
          </w:p>
        </w:tc>
        <w:tc>
          <w:tcPr>
            <w:tcW w:type="dxa" w:w="1317"/>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Manager confirms</w:t>
            </w:r>
          </w:p>
        </w:tc>
        <w:tc>
          <w:tcPr>
            <w:tcW w:type="dxa" w:w="1343"/>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Talent</w:t>
            </w:r>
          </w:p>
        </w:tc>
        <w:tc>
          <w:tcPr>
            <w:tcW w:type="dxa" w:w="802"/>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2</w:t>
            </w:r>
          </w:p>
        </w:tc>
      </w:tr>
      <w:tr>
        <w:trPr>
          <w:cantSplit/>
          <w:tblHeader w:val="false"/>
        </w:trPr>
        <w:tc>
          <w:tcPr>
            <w:tcW w:type="dxa" w:w="1584"/>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Engagement Setup</w:t>
            </w:r>
          </w:p>
        </w:tc>
        <w:tc>
          <w:tcPr>
            <w:tcW w:type="dxa" w:w="3401"/>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Creates project, WBS, billing plan and charge codes</w:t>
            </w:r>
          </w:p>
        </w:tc>
        <w:tc>
          <w:tcPr>
            <w:tcW w:type="dxa" w:w="913"/>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Tier 3, policy-gated</w:t>
            </w:r>
          </w:p>
        </w:tc>
        <w:tc>
          <w:tcPr>
            <w:tcW w:type="dxa" w:w="1317"/>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None (gated by policy)</w:t>
            </w:r>
          </w:p>
        </w:tc>
        <w:tc>
          <w:tcPr>
            <w:tcW w:type="dxa" w:w="1343"/>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Finance</w:t>
            </w:r>
          </w:p>
        </w:tc>
        <w:tc>
          <w:tcPr>
            <w:tcW w:type="dxa" w:w="802"/>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3</w:t>
            </w:r>
          </w:p>
        </w:tc>
      </w:tr>
    </w:tbl>
    <w:p>
      <w:pPr>
        <w:spacing w:after="120"/>
      </w:pPr>
    </w:p>
    <w:tbl>
      <w:tblPr>
        <w:tblW w:type="dxa" w:w="9360"/>
        <w:tblBorders>
          <w:top w:val="single" w:color="CBD5E1" w:sz="4"/>
          <w:left w:val="single" w:color="CBD5E1" w:sz="4"/>
          <w:bottom w:val="single" w:color="CBD5E1" w:sz="4"/>
          <w:right w:val="single" w:color="CBD5E1" w:sz="4"/>
          <w:insideH w:val="single" w:color="CBD5E1" w:sz="4"/>
          <w:insideV w:val="single" w:color="CBD5E1" w:sz="4"/>
        </w:tblBorders>
        <w:tblLayout w:type="fixed"/>
      </w:tblPr>
      <w:tblGrid>
        <w:gridCol w:w="1584"/>
        <w:gridCol w:w="1476"/>
        <w:gridCol w:w="1593"/>
        <w:gridCol w:w="1920"/>
        <w:gridCol w:w="2787"/>
      </w:tblGrid>
      <w:tr>
        <w:trPr>
          <w:cantSplit/>
          <w:tblHeader/>
        </w:trPr>
        <w:tc>
          <w:tcPr>
            <w:tcW w:type="dxa" w:w="1584"/>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Agent</w:t>
            </w:r>
          </w:p>
        </w:tc>
        <w:tc>
          <w:tcPr>
            <w:tcW w:type="dxa" w:w="1476"/>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Sponsor</w:t>
            </w:r>
          </w:p>
        </w:tc>
        <w:tc>
          <w:tcPr>
            <w:tcW w:type="dxa" w:w="1593"/>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Lifecycle stage</w:t>
            </w:r>
          </w:p>
        </w:tc>
        <w:tc>
          <w:tcPr>
            <w:tcW w:type="dxa" w:w="1920"/>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Next recertification</w:t>
            </w:r>
          </w:p>
        </w:tc>
        <w:tc>
          <w:tcPr>
            <w:tcW w:type="dxa" w:w="2787"/>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Retirement criteria</w:t>
            </w:r>
          </w:p>
        </w:tc>
      </w:tr>
      <w:tr>
        <w:trPr>
          <w:cantSplit/>
          <w:tblHeader w:val="false"/>
        </w:trPr>
        <w:tc>
          <w:tcPr>
            <w:tcW w:type="dxa" w:w="1584"/>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Launch Orchestrator</w:t>
            </w:r>
          </w:p>
        </w:tc>
        <w:tc>
          <w:tcPr>
            <w:tcW w:type="dxa" w:w="1476"/>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Head of practice operations</w:t>
            </w:r>
          </w:p>
        </w:tc>
        <w:tc>
          <w:tcPr>
            <w:tcW w:type="dxa" w:w="1593"/>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Register and onboard (phase 1)</w:t>
            </w:r>
          </w:p>
        </w:tc>
        <w:tc>
          <w:tcPr>
            <w:tcW w:type="dxa" w:w="192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Every six months</w:t>
            </w:r>
          </w:p>
        </w:tc>
        <w:tc>
          <w:tcPr>
            <w:tcW w:type="dxa" w:w="2787"/>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The launch process changes or a successor replaces it</w:t>
            </w:r>
          </w:p>
        </w:tc>
      </w:tr>
      <w:tr>
        <w:trPr>
          <w:cantSplit/>
          <w:tblHeader w:val="false"/>
        </w:trPr>
        <w:tc>
          <w:tcPr>
            <w:tcW w:type="dxa" w:w="1584"/>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Entity Resolution</w:t>
            </w:r>
          </w:p>
        </w:tc>
        <w:tc>
          <w:tcPr>
            <w:tcW w:type="dxa" w:w="1476"/>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Head of data governance</w:t>
            </w:r>
          </w:p>
        </w:tc>
        <w:tc>
          <w:tcPr>
            <w:tcW w:type="dxa" w:w="1593"/>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Register and onboard (phase 1)</w:t>
            </w:r>
          </w:p>
        </w:tc>
        <w:tc>
          <w:tcPr>
            <w:tcW w:type="dxa" w:w="192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Every six months</w:t>
            </w:r>
          </w:p>
        </w:tc>
        <w:tc>
          <w:tcPr>
            <w:tcW w:type="dxa" w:w="2787"/>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Precision below threshold for a quarter, or matching moves into MDM</w:t>
            </w:r>
          </w:p>
        </w:tc>
      </w:tr>
      <w:tr>
        <w:trPr>
          <w:cantSplit/>
          <w:tblHeader w:val="false"/>
        </w:trPr>
        <w:tc>
          <w:tcPr>
            <w:tcW w:type="dxa" w:w="1584"/>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Conflicts &amp; Independence</w:t>
            </w:r>
          </w:p>
        </w:tc>
        <w:tc>
          <w:tcPr>
            <w:tcW w:type="dxa" w:w="1476"/>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Risk &amp; Quality leader</w:t>
            </w:r>
          </w:p>
        </w:tc>
        <w:tc>
          <w:tcPr>
            <w:tcW w:type="dxa" w:w="1593"/>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Register and onboard (phase 1)</w:t>
            </w:r>
          </w:p>
        </w:tc>
        <w:tc>
          <w:tcPr>
            <w:tcW w:type="dxa" w:w="192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Quarterly (regulated work)</w:t>
            </w:r>
          </w:p>
        </w:tc>
        <w:tc>
          <w:tcPr>
            <w:tcW w:type="dxa" w:w="2787"/>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Independence rules change beyond its evaluation suite</w:t>
            </w:r>
          </w:p>
        </w:tc>
      </w:tr>
      <w:tr>
        <w:trPr>
          <w:cantSplit/>
          <w:tblHeader w:val="false"/>
        </w:trPr>
        <w:tc>
          <w:tcPr>
            <w:tcW w:type="dxa" w:w="1584"/>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Scoping &amp; Letter</w:t>
            </w:r>
          </w:p>
        </w:tc>
        <w:tc>
          <w:tcPr>
            <w:tcW w:type="dxa" w:w="1476"/>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Risk &amp; Quality leader (templates)</w:t>
            </w:r>
          </w:p>
        </w:tc>
        <w:tc>
          <w:tcPr>
            <w:tcW w:type="dxa" w:w="1593"/>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Propose (phase 2)</w:t>
            </w:r>
          </w:p>
        </w:tc>
        <w:tc>
          <w:tcPr>
            <w:tcW w:type="dxa" w:w="192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Quarterly</w:t>
            </w:r>
          </w:p>
        </w:tc>
        <w:tc>
          <w:tcPr>
            <w:tcW w:type="dxa" w:w="2787"/>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The clause library is replaced, or accuracy falls below threshold</w:t>
            </w:r>
          </w:p>
        </w:tc>
      </w:tr>
      <w:tr>
        <w:trPr>
          <w:cantSplit/>
          <w:tblHeader w:val="false"/>
        </w:trPr>
        <w:tc>
          <w:tcPr>
            <w:tcW w:type="dxa" w:w="1584"/>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Pricing &amp; Budget</w:t>
            </w:r>
          </w:p>
        </w:tc>
        <w:tc>
          <w:tcPr>
            <w:tcW w:type="dxa" w:w="1476"/>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Finance partner</w:t>
            </w:r>
          </w:p>
        </w:tc>
        <w:tc>
          <w:tcPr>
            <w:tcW w:type="dxa" w:w="1593"/>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Propose (phase 2)</w:t>
            </w:r>
          </w:p>
        </w:tc>
        <w:tc>
          <w:tcPr>
            <w:tcW w:type="dxa" w:w="192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Every six months</w:t>
            </w:r>
          </w:p>
        </w:tc>
        <w:tc>
          <w:tcPr>
            <w:tcW w:type="dxa" w:w="2787"/>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The rate-card system is replaced</w:t>
            </w:r>
          </w:p>
        </w:tc>
      </w:tr>
      <w:tr>
        <w:trPr>
          <w:cantSplit/>
          <w:tblHeader w:val="false"/>
        </w:trPr>
        <w:tc>
          <w:tcPr>
            <w:tcW w:type="dxa" w:w="1584"/>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Staffing</w:t>
            </w:r>
          </w:p>
        </w:tc>
        <w:tc>
          <w:tcPr>
            <w:tcW w:type="dxa" w:w="1476"/>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Talent leader</w:t>
            </w:r>
          </w:p>
        </w:tc>
        <w:tc>
          <w:tcPr>
            <w:tcW w:type="dxa" w:w="1593"/>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Propose (phase 2)</w:t>
            </w:r>
          </w:p>
        </w:tc>
        <w:tc>
          <w:tcPr>
            <w:tcW w:type="dxa" w:w="192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Every six months</w:t>
            </w:r>
          </w:p>
        </w:tc>
        <w:tc>
          <w:tcPr>
            <w:tcW w:type="dxa" w:w="2787"/>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Workday matching covers the need</w:t>
            </w:r>
          </w:p>
        </w:tc>
      </w:tr>
      <w:tr>
        <w:trPr>
          <w:cantSplit/>
          <w:tblHeader w:val="false"/>
        </w:trPr>
        <w:tc>
          <w:tcPr>
            <w:tcW w:type="dxa" w:w="1584"/>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Engagement Setup</w:t>
            </w:r>
          </w:p>
        </w:tc>
        <w:tc>
          <w:tcPr>
            <w:tcW w:type="dxa" w:w="1476"/>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Finance partner</w:t>
            </w:r>
          </w:p>
        </w:tc>
        <w:tc>
          <w:tcPr>
            <w:tcW w:type="dxa" w:w="1593"/>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Propose (phase 3)</w:t>
            </w:r>
          </w:p>
        </w:tc>
        <w:tc>
          <w:tcPr>
            <w:tcW w:type="dxa" w:w="192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Quarterly (writes to SAP)</w:t>
            </w:r>
          </w:p>
        </w:tc>
        <w:tc>
          <w:tcPr>
            <w:tcW w:type="dxa" w:w="2787"/>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SAP setup is automated another way, or a failed binding check goes unexplained</w:t>
            </w:r>
          </w:p>
        </w:tc>
      </w:tr>
    </w:tbl>
    <w:p>
      <w:pPr>
        <w:spacing w:after="120"/>
      </w:pPr>
    </w:p>
    <w:p>
      <w:pPr>
        <w:pStyle w:val="Heading3"/>
        <w:keepNext/>
      </w:pPr>
      <w:r>
        <w:rPr>
          <w:rFonts w:ascii="Calibri" w:cs="Calibri" w:eastAsia="Calibri" w:hAnsi="Calibri"/>
        </w:rPr>
        <w:t xml:space="preserve">T3e. Models</w:t>
      </w:r>
    </w:p>
    <w:tbl>
      <w:tblPr>
        <w:tblW w:type="dxa" w:w="9360"/>
        <w:tblBorders>
          <w:top w:val="single" w:color="CBD5E1" w:sz="4"/>
          <w:left w:val="single" w:color="CBD5E1" w:sz="4"/>
          <w:bottom w:val="single" w:color="CBD5E1" w:sz="4"/>
          <w:right w:val="single" w:color="CBD5E1" w:sz="4"/>
          <w:insideH w:val="single" w:color="CBD5E1" w:sz="4"/>
          <w:insideV w:val="single" w:color="CBD5E1" w:sz="4"/>
        </w:tblBorders>
        <w:tblLayout w:type="fixed"/>
      </w:tblPr>
      <w:tblGrid>
        <w:gridCol w:w="1465"/>
        <w:gridCol w:w="1869"/>
        <w:gridCol w:w="2439"/>
        <w:gridCol w:w="2344"/>
        <w:gridCol w:w="1243"/>
      </w:tblGrid>
      <w:tr>
        <w:trPr>
          <w:cantSplit/>
          <w:tblHeader/>
        </w:trPr>
        <w:tc>
          <w:tcPr>
            <w:tcW w:type="dxa" w:w="1465"/>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Model</w:t>
            </w:r>
          </w:p>
        </w:tc>
        <w:tc>
          <w:tcPr>
            <w:tcW w:type="dxa" w:w="1869"/>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Provider and hosting</w:t>
            </w:r>
          </w:p>
        </w:tc>
        <w:tc>
          <w:tcPr>
            <w:tcW w:type="dxa" w:w="2439"/>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Tasks</w:t>
            </w:r>
          </w:p>
        </w:tc>
        <w:tc>
          <w:tcPr>
            <w:tcW w:type="dxa" w:w="2344"/>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Data rules</w:t>
            </w:r>
          </w:p>
        </w:tc>
        <w:tc>
          <w:tcPr>
            <w:tcW w:type="dxa" w:w="1243"/>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Fallback</w:t>
            </w:r>
          </w:p>
        </w:tc>
      </w:tr>
      <w:tr>
        <w:trPr>
          <w:cantSplit/>
          <w:tblHeader w:val="false"/>
        </w:trPr>
        <w:tc>
          <w:tcPr>
            <w:tcW w:type="dxa" w:w="1465"/>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Frontier model (primary)</w:t>
            </w:r>
          </w:p>
        </w:tc>
        <w:tc>
          <w:tcPr>
            <w:tcW w:type="dxa" w:w="1869"/>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Provider under enterprise terms with zero data retention</w:t>
            </w:r>
          </w:p>
        </w:tc>
        <w:tc>
          <w:tcPr>
            <w:tcW w:type="dxa" w:w="2439"/>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Drafts engagement letters and summarizes complex findings</w:t>
            </w:r>
          </w:p>
        </w:tc>
        <w:tc>
          <w:tcPr>
            <w:tcW w:type="dxa" w:w="2344"/>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Personal data masked</w:t>
            </w:r>
          </w:p>
          <w:p>
            <w:pPr>
              <w:spacing w:after="80" w:before="0" w:line="252"/>
            </w:pPr>
            <w:r>
              <w:rPr>
                <w:rFonts w:ascii="Calibri" w:cs="Calibri" w:eastAsia="Calibri" w:hAnsi="Calibri"/>
                <w:sz w:val="18"/>
                <w:szCs w:val="18"/>
              </w:rPr>
              <w:t xml:space="preserve">Approved regions</w:t>
            </w:r>
          </w:p>
          <w:p>
            <w:pPr>
              <w:spacing w:after="0" w:before="0" w:line="252"/>
            </w:pPr>
            <w:r>
              <w:rPr>
                <w:rFonts w:ascii="Calibri" w:cs="Calibri" w:eastAsia="Calibri" w:hAnsi="Calibri"/>
                <w:sz w:val="18"/>
                <w:szCs w:val="18"/>
              </w:rPr>
              <w:t xml:space="preserve">No training on firm data</w:t>
            </w:r>
          </w:p>
        </w:tc>
        <w:tc>
          <w:tcPr>
            <w:tcW w:type="dxa" w:w="1243"/>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Second frontier provider</w:t>
            </w:r>
          </w:p>
        </w:tc>
      </w:tr>
      <w:tr>
        <w:trPr>
          <w:cantSplit/>
          <w:tblHeader w:val="false"/>
        </w:trPr>
        <w:tc>
          <w:tcPr>
            <w:tcW w:type="dxa" w:w="1465"/>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Frontier model (failover)</w:t>
            </w:r>
          </w:p>
        </w:tc>
        <w:tc>
          <w:tcPr>
            <w:tcW w:type="dxa" w:w="1869"/>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Second provider, same terms</w:t>
            </w:r>
          </w:p>
        </w:tc>
        <w:tc>
          <w:tcPr>
            <w:tcW w:type="dxa" w:w="2439"/>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Failover for drafting and summaries</w:t>
            </w:r>
          </w:p>
        </w:tc>
        <w:tc>
          <w:tcPr>
            <w:tcW w:type="dxa" w:w="2344"/>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As above</w:t>
            </w:r>
          </w:p>
        </w:tc>
        <w:tc>
          <w:tcPr>
            <w:tcW w:type="dxa" w:w="1243"/>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Not applicable</w:t>
            </w:r>
          </w:p>
        </w:tc>
      </w:tr>
      <w:tr>
        <w:trPr>
          <w:cantSplit/>
          <w:tblHeader w:val="false"/>
        </w:trPr>
        <w:tc>
          <w:tcPr>
            <w:tcW w:type="dxa" w:w="1465"/>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Open-weight small language model</w:t>
            </w:r>
          </w:p>
        </w:tc>
        <w:tc>
          <w:tcPr>
            <w:tcW w:type="dxa" w:w="1869"/>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Self-hosted in the firm’s VPC</w:t>
            </w:r>
          </w:p>
        </w:tc>
        <w:tc>
          <w:tcPr>
            <w:tcW w:type="dxa" w:w="2439"/>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Entity extraction, classification and personal-data detection</w:t>
            </w:r>
          </w:p>
        </w:tc>
        <w:tc>
          <w:tcPr>
            <w:tcW w:type="dxa" w:w="2344"/>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Client-confidential text never leaves the firm for routine tasks</w:t>
            </w:r>
          </w:p>
        </w:tc>
        <w:tc>
          <w:tcPr>
            <w:tcW w:type="dxa" w:w="1243"/>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Not applicable</w:t>
            </w:r>
          </w:p>
        </w:tc>
      </w:tr>
      <w:tr>
        <w:trPr>
          <w:cantSplit/>
          <w:tblHeader w:val="false"/>
        </w:trPr>
        <w:tc>
          <w:tcPr>
            <w:tcW w:type="dxa" w:w="1465"/>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Embedding model</w:t>
            </w:r>
          </w:p>
        </w:tc>
        <w:tc>
          <w:tcPr>
            <w:tcW w:type="dxa" w:w="1869"/>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Private endpoint</w:t>
            </w:r>
          </w:p>
        </w:tc>
        <w:tc>
          <w:tcPr>
            <w:tcW w:type="dxa" w:w="2439"/>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Indexes credentials, prior proposals and templates for retrieval</w:t>
            </w:r>
          </w:p>
        </w:tc>
        <w:tc>
          <w:tcPr>
            <w:tcW w:type="dxa" w:w="2344"/>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Indexes partitioned by client and engagement (information barriers)</w:t>
            </w:r>
          </w:p>
        </w:tc>
        <w:tc>
          <w:tcPr>
            <w:tcW w:type="dxa" w:w="1243"/>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Not applicable</w:t>
            </w:r>
          </w:p>
        </w:tc>
      </w:tr>
    </w:tbl>
    <w:p>
      <w:pPr>
        <w:spacing w:after="120"/>
      </w:pPr>
    </w:p>
    <w:p>
      <w:pPr>
        <w:spacing w:after="140"/>
      </w:pPr>
      <w:r>
        <w:rPr>
          <w:rFonts w:ascii="Calibri" w:cs="Calibri" w:eastAsia="Calibri" w:hAnsi="Calibri"/>
          <w:b/>
          <w:bCs/>
        </w:rPr>
        <w:t xml:space="preserve">Routing policy.</w:t>
      </w:r>
      <w:r>
        <w:rPr>
          <w:rFonts w:ascii="Calibri" w:cs="Calibri" w:eastAsia="Calibri" w:hAnsi="Calibri"/>
        </w:rPr>
        <w:t xml:space="preserve"> Client-confidential payloads go only to private models or approved regions. Drafting goes to the frontier model with personal data masked, and token budgets are set per launch.</w:t>
      </w:r>
    </w:p>
    <w:p>
      <w:pPr>
        <w:pStyle w:val="Heading3"/>
        <w:keepNext/>
      </w:pPr>
      <w:r>
        <w:rPr>
          <w:rFonts w:ascii="Calibri" w:cs="Calibri" w:eastAsia="Calibri" w:hAnsi="Calibri"/>
        </w:rPr>
        <w:t xml:space="preserve">T3f. Identities, users and channels</w:t>
      </w:r>
    </w:p>
    <w:tbl>
      <w:tblPr>
        <w:tblW w:type="dxa" w:w="9360"/>
        <w:tblBorders>
          <w:top w:val="single" w:color="CBD5E1" w:sz="4"/>
          <w:left w:val="single" w:color="CBD5E1" w:sz="4"/>
          <w:bottom w:val="single" w:color="CBD5E1" w:sz="4"/>
          <w:right w:val="single" w:color="CBD5E1" w:sz="4"/>
          <w:insideH w:val="single" w:color="CBD5E1" w:sz="4"/>
          <w:insideV w:val="single" w:color="CBD5E1" w:sz="4"/>
        </w:tblBorders>
        <w:tblLayout w:type="fixed"/>
      </w:tblPr>
      <w:tblGrid>
        <w:gridCol w:w="1766"/>
        <w:gridCol w:w="1592"/>
        <w:gridCol w:w="2408"/>
        <w:gridCol w:w="3594"/>
      </w:tblGrid>
      <w:tr>
        <w:trPr>
          <w:cantSplit/>
          <w:tblHeader/>
        </w:trPr>
        <w:tc>
          <w:tcPr>
            <w:tcW w:type="dxa" w:w="1766"/>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Actor</w:t>
            </w:r>
          </w:p>
        </w:tc>
        <w:tc>
          <w:tcPr>
            <w:tcW w:type="dxa" w:w="1592"/>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Channel</w:t>
            </w:r>
          </w:p>
        </w:tc>
        <w:tc>
          <w:tcPr>
            <w:tcW w:type="dxa" w:w="2408"/>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Authentication</w:t>
            </w:r>
          </w:p>
        </w:tc>
        <w:tc>
          <w:tcPr>
            <w:tcW w:type="dxa" w:w="3594"/>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Authority and approvals</w:t>
            </w:r>
          </w:p>
        </w:tc>
      </w:tr>
      <w:tr>
        <w:trPr>
          <w:cantSplit/>
          <w:tblHeader w:val="false"/>
        </w:trPr>
        <w:tc>
          <w:tcPr>
            <w:tcW w:type="dxa" w:w="1766"/>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Engagement managers</w:t>
            </w:r>
          </w:p>
        </w:tc>
        <w:tc>
          <w:tcPr>
            <w:tcW w:type="dxa" w:w="1592"/>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Chat copilot</w:t>
            </w:r>
          </w:p>
        </w:tc>
        <w:tc>
          <w:tcPr>
            <w:tcW w:type="dxa" w:w="240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Single sign-on with phishing-resistant MFA</w:t>
            </w:r>
          </w:p>
        </w:tc>
        <w:tc>
          <w:tcPr>
            <w:tcW w:type="dxa" w:w="3594"/>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Edit letters, accept budgets, confirm teams</w:t>
            </w:r>
          </w:p>
        </w:tc>
      </w:tr>
      <w:tr>
        <w:trPr>
          <w:cantSplit/>
          <w:tblHeader w:val="false"/>
        </w:trPr>
        <w:tc>
          <w:tcPr>
            <w:tcW w:type="dxa" w:w="1766"/>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Partners</w:t>
            </w:r>
          </w:p>
        </w:tc>
        <w:tc>
          <w:tcPr>
            <w:tcW w:type="dxa" w:w="1592"/>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Mobile approval</w:t>
            </w:r>
          </w:p>
        </w:tc>
        <w:tc>
          <w:tcPr>
            <w:tcW w:type="dxa" w:w="240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Step-up authentication</w:t>
            </w:r>
          </w:p>
        </w:tc>
        <w:tc>
          <w:tcPr>
            <w:tcW w:type="dxa" w:w="3594"/>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Approve letter and budget</w:t>
            </w:r>
          </w:p>
          <w:p>
            <w:pPr>
              <w:spacing w:after="0" w:before="0" w:line="252"/>
            </w:pPr>
            <w:r>
              <w:rPr>
                <w:rFonts w:ascii="Calibri" w:cs="Calibri" w:eastAsia="Calibri" w:hAnsi="Calibri"/>
                <w:sz w:val="18"/>
                <w:szCs w:val="18"/>
              </w:rPr>
              <w:t xml:space="preserve">Approve the SAP setup request (bound to that request, expires at the end of the business day)</w:t>
            </w:r>
          </w:p>
        </w:tc>
      </w:tr>
      <w:tr>
        <w:trPr>
          <w:cantSplit/>
          <w:tblHeader w:val="false"/>
        </w:trPr>
        <w:tc>
          <w:tcPr>
            <w:tcW w:type="dxa" w:w="1766"/>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Risk &amp; Quality reviewers</w:t>
            </w:r>
          </w:p>
        </w:tc>
        <w:tc>
          <w:tcPr>
            <w:tcW w:type="dxa" w:w="1592"/>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Case workspace</w:t>
            </w:r>
          </w:p>
        </w:tc>
        <w:tc>
          <w:tcPr>
            <w:tcW w:type="dxa" w:w="240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Single sign-on with MFA</w:t>
            </w:r>
          </w:p>
        </w:tc>
        <w:tc>
          <w:tcPr>
            <w:tcW w:type="dxa" w:w="3594"/>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Decide independence (Tier 1)</w:t>
            </w:r>
          </w:p>
        </w:tc>
      </w:tr>
      <w:tr>
        <w:trPr>
          <w:cantSplit/>
          <w:tblHeader w:val="false"/>
        </w:trPr>
        <w:tc>
          <w:tcPr>
            <w:tcW w:type="dxa" w:w="1766"/>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Resource management and finance</w:t>
            </w:r>
          </w:p>
        </w:tc>
        <w:tc>
          <w:tcPr>
            <w:tcW w:type="dxa" w:w="1592"/>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Existing tools</w:t>
            </w:r>
          </w:p>
        </w:tc>
        <w:tc>
          <w:tcPr>
            <w:tcW w:type="dxa" w:w="240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Single sign-on with MFA</w:t>
            </w:r>
          </w:p>
        </w:tc>
        <w:tc>
          <w:tcPr>
            <w:tcW w:type="dxa" w:w="3594"/>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Work exceptions</w:t>
            </w:r>
          </w:p>
        </w:tc>
      </w:tr>
      <w:tr>
        <w:trPr>
          <w:cantSplit/>
          <w:tblHeader w:val="false"/>
        </w:trPr>
        <w:tc>
          <w:tcPr>
            <w:tcW w:type="dxa" w:w="1766"/>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Client signatories</w:t>
            </w:r>
          </w:p>
        </w:tc>
        <w:tc>
          <w:tcPr>
            <w:tcW w:type="dxa" w:w="1592"/>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E-signature portal</w:t>
            </w:r>
          </w:p>
        </w:tc>
        <w:tc>
          <w:tcPr>
            <w:tcW w:type="dxa" w:w="240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Portal authentication</w:t>
            </w:r>
          </w:p>
        </w:tc>
        <w:tc>
          <w:tcPr>
            <w:tcW w:type="dxa" w:w="3594"/>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Sign the engagement letter</w:t>
            </w:r>
          </w:p>
        </w:tc>
      </w:tr>
      <w:tr>
        <w:trPr>
          <w:cantSplit/>
          <w:tblHeader w:val="false"/>
        </w:trPr>
        <w:tc>
          <w:tcPr>
            <w:tcW w:type="dxa" w:w="1766"/>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Agents (seven)</w:t>
            </w:r>
          </w:p>
        </w:tc>
        <w:tc>
          <w:tcPr>
            <w:tcW w:type="dxa" w:w="1592"/>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None (machine actors)</w:t>
            </w:r>
          </w:p>
        </w:tc>
        <w:tc>
          <w:tcPr>
            <w:tcW w:type="dxa" w:w="240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 unique workload identity per agent instance</w:t>
            </w:r>
            <w:hyperlink w:history="1" w:anchor="en_91">
              <w:r>
                <w:rPr>
                  <w:rFonts w:ascii="Calibri" w:cs="Calibri" w:eastAsia="Calibri" w:hAnsi="Calibri"/>
                  <w:color w:val="0369A1"/>
                  <w:sz w:val="18"/>
                  <w:szCs w:val="18"/>
                  <w:vertAlign w:val="superscript"/>
                </w:rPr>
                <w:t xml:space="preserve">91</w:t>
              </w:r>
            </w:hyperlink>
          </w:p>
        </w:tc>
        <w:tc>
          <w:tcPr>
            <w:tcW w:type="dxa" w:w="3594"/>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Least-privilege scopes</w:t>
            </w:r>
          </w:p>
          <w:p>
            <w:pPr>
              <w:spacing w:after="80" w:before="0" w:line="252"/>
            </w:pPr>
            <w:r>
              <w:rPr>
                <w:rFonts w:ascii="Calibri" w:cs="Calibri" w:eastAsia="Calibri" w:hAnsi="Calibri"/>
                <w:sz w:val="18"/>
                <w:szCs w:val="18"/>
              </w:rPr>
              <w:t xml:space="preserve">On-behalf-of tokens with narrowed scopes</w:t>
            </w:r>
            <w:hyperlink w:history="1" w:anchor="en_92">
              <w:r>
                <w:rPr>
                  <w:rFonts w:ascii="Calibri" w:cs="Calibri" w:eastAsia="Calibri" w:hAnsi="Calibri"/>
                  <w:color w:val="0369A1"/>
                  <w:sz w:val="18"/>
                  <w:szCs w:val="18"/>
                  <w:vertAlign w:val="superscript"/>
                </w:rPr>
                <w:t xml:space="preserve">92</w:t>
              </w:r>
            </w:hyperlink>
          </w:p>
          <w:p>
            <w:pPr>
              <w:spacing w:after="0" w:before="0" w:line="252"/>
            </w:pPr>
            <w:r>
              <w:rPr>
                <w:rFonts w:ascii="Calibri" w:cs="Calibri" w:eastAsia="Calibri" w:hAnsi="Calibri"/>
                <w:sz w:val="18"/>
                <w:szCs w:val="18"/>
              </w:rPr>
              <w:t xml:space="preserve">No agent approves its own output</w:t>
            </w:r>
          </w:p>
        </w:tc>
      </w:tr>
    </w:tbl>
    <w:p>
      <w:pPr>
        <w:spacing w:after="120"/>
      </w:pPr>
    </w:p>
    <w:p>
      <w:pPr>
        <w:pStyle w:val="Heading3"/>
        <w:keepNext/>
      </w:pPr>
      <w:r>
        <w:rPr>
          <w:rFonts w:ascii="Calibri" w:cs="Calibri" w:eastAsia="Calibri" w:hAnsi="Calibri"/>
        </w:rPr>
        <w:t xml:space="preserve">T3g. Policies and controls</w:t>
      </w:r>
    </w:p>
    <w:tbl>
      <w:tblPr>
        <w:tblW w:type="dxa" w:w="9360"/>
        <w:tblBorders>
          <w:top w:val="single" w:color="CBD5E1" w:sz="4"/>
          <w:left w:val="single" w:color="CBD5E1" w:sz="4"/>
          <w:bottom w:val="single" w:color="CBD5E1" w:sz="4"/>
          <w:right w:val="single" w:color="CBD5E1" w:sz="4"/>
          <w:insideH w:val="single" w:color="CBD5E1" w:sz="4"/>
          <w:insideV w:val="single" w:color="CBD5E1" w:sz="4"/>
        </w:tblBorders>
        <w:tblLayout w:type="fixed"/>
      </w:tblPr>
      <w:tblGrid>
        <w:gridCol w:w="2838"/>
        <w:gridCol w:w="1540"/>
        <w:gridCol w:w="1440"/>
        <w:gridCol w:w="2301"/>
        <w:gridCol w:w="1241"/>
      </w:tblGrid>
      <w:tr>
        <w:trPr>
          <w:cantSplit/>
          <w:tblHeader/>
        </w:trPr>
        <w:tc>
          <w:tcPr>
            <w:tcW w:type="dxa" w:w="2838"/>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Policy or control</w:t>
            </w:r>
          </w:p>
        </w:tc>
        <w:tc>
          <w:tcPr>
            <w:tcW w:type="dxa" w:w="1540"/>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Type</w:t>
            </w:r>
          </w:p>
        </w:tc>
        <w:tc>
          <w:tcPr>
            <w:tcW w:type="dxa" w:w="1440"/>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Enforced today</w:t>
            </w:r>
          </w:p>
        </w:tc>
        <w:tc>
          <w:tcPr>
            <w:tcW w:type="dxa" w:w="2301"/>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Target enforcement</w:t>
            </w:r>
          </w:p>
        </w:tc>
        <w:tc>
          <w:tcPr>
            <w:tcW w:type="dxa" w:w="1241"/>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Owner</w:t>
            </w:r>
          </w:p>
        </w:tc>
      </w:tr>
      <w:tr>
        <w:trPr>
          <w:cantSplit/>
          <w:tblHeader w:val="false"/>
        </w:trPr>
        <w:tc>
          <w:tcPr>
            <w:tcW w:type="dxa" w:w="283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Engagement setup in SAP requires independence status CLEARED, the partner’s approval bound to the exact setup request (expiring at the end of the business day) and a signed letter</w:t>
            </w:r>
          </w:p>
        </w:tc>
        <w:tc>
          <w:tcPr>
            <w:tcW w:type="dxa" w:w="15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Approval and gate</w:t>
            </w:r>
          </w:p>
        </w:tc>
        <w:tc>
          <w:tcPr>
            <w:tcW w:type="dxa" w:w="1440"/>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Manual checks</w:t>
            </w:r>
          </w:p>
        </w:tc>
        <w:tc>
          <w:tcPr>
            <w:tcW w:type="dxa" w:w="2301"/>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Policy decision point</w:t>
            </w:r>
          </w:p>
          <w:p>
            <w:pPr>
              <w:spacing w:after="0" w:before="0" w:line="252"/>
            </w:pPr>
            <w:r>
              <w:rPr>
                <w:rFonts w:ascii="Calibri" w:cs="Calibri" w:eastAsia="Calibri" w:hAnsi="Calibri"/>
                <w:sz w:val="18"/>
                <w:szCs w:val="18"/>
              </w:rPr>
              <w:t xml:space="preserve">A custom Omni Gateway policy, built with the Policy Development Kit, for approval binding</w:t>
            </w:r>
          </w:p>
        </w:tc>
        <w:tc>
          <w:tcPr>
            <w:tcW w:type="dxa" w:w="1241"/>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Finance</w:t>
            </w:r>
          </w:p>
          <w:p>
            <w:pPr>
              <w:spacing w:after="0" w:before="0" w:line="252"/>
            </w:pPr>
            <w:r>
              <w:rPr>
                <w:rFonts w:ascii="Calibri" w:cs="Calibri" w:eastAsia="Calibri" w:hAnsi="Calibri"/>
                <w:sz w:val="18"/>
                <w:szCs w:val="18"/>
              </w:rPr>
              <w:t xml:space="preserve">Risk &amp; Quality</w:t>
            </w:r>
          </w:p>
        </w:tc>
      </w:tr>
      <w:tr>
        <w:trPr>
          <w:cantSplit/>
          <w:tblHeader w:val="false"/>
        </w:trPr>
        <w:tc>
          <w:tcPr>
            <w:tcW w:type="dxa" w:w="283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Engagement letters use approved templates, and any clause deviation routes to Risk &amp; Quality</w:t>
            </w:r>
          </w:p>
        </w:tc>
        <w:tc>
          <w:tcPr>
            <w:tcW w:type="dxa" w:w="15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Content</w:t>
            </w:r>
          </w:p>
        </w:tc>
        <w:tc>
          <w:tcPr>
            <w:tcW w:type="dxa" w:w="1440"/>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Manual review</w:t>
            </w:r>
          </w:p>
        </w:tc>
        <w:tc>
          <w:tcPr>
            <w:tcW w:type="dxa" w:w="2301"/>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Template and clause checks in the Scoping &amp; Letter agent</w:t>
            </w:r>
          </w:p>
        </w:tc>
        <w:tc>
          <w:tcPr>
            <w:tcW w:type="dxa" w:w="1241"/>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Risk &amp; Quality</w:t>
            </w:r>
          </w:p>
        </w:tc>
      </w:tr>
      <w:tr>
        <w:trPr>
          <w:cantSplit/>
          <w:tblHeader w:val="false"/>
        </w:trPr>
        <w:tc>
          <w:tcPr>
            <w:tcW w:type="dxa" w:w="283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Staffing proposals include only people with independence clearance for the client and the required credentials</w:t>
            </w:r>
          </w:p>
        </w:tc>
        <w:tc>
          <w:tcPr>
            <w:tcW w:type="dxa" w:w="15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Authorization</w:t>
            </w:r>
          </w:p>
        </w:tc>
        <w:tc>
          <w:tcPr>
            <w:tcW w:type="dxa" w:w="1440"/>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Manual</w:t>
            </w:r>
          </w:p>
        </w:tc>
        <w:tc>
          <w:tcPr>
            <w:tcW w:type="dxa" w:w="2301"/>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Clearance flag (yes or no) checked by the Staffing agent</w:t>
            </w:r>
          </w:p>
        </w:tc>
        <w:tc>
          <w:tcPr>
            <w:tcW w:type="dxa" w:w="1241"/>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Talent</w:t>
            </w:r>
          </w:p>
          <w:p>
            <w:pPr>
              <w:spacing w:after="0" w:before="0" w:line="252"/>
            </w:pPr>
            <w:r>
              <w:rPr>
                <w:rFonts w:ascii="Calibri" w:cs="Calibri" w:eastAsia="Calibri" w:hAnsi="Calibri"/>
                <w:sz w:val="18"/>
                <w:szCs w:val="18"/>
              </w:rPr>
              <w:t xml:space="preserve">Risk &amp; Quality</w:t>
            </w:r>
          </w:p>
        </w:tc>
      </w:tr>
      <w:tr>
        <w:trPr>
          <w:cantSplit/>
          <w:tblHeader w:val="false"/>
        </w:trPr>
        <w:tc>
          <w:tcPr>
            <w:tcW w:type="dxa" w:w="283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Client-confidential data is processed only by private models in approved regions</w:t>
            </w:r>
          </w:p>
        </w:tc>
        <w:tc>
          <w:tcPr>
            <w:tcW w:type="dxa" w:w="15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Data and routing</w:t>
            </w:r>
          </w:p>
        </w:tc>
        <w:tc>
          <w:tcPr>
            <w:tcW w:type="dxa" w:w="1440"/>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Not enforced</w:t>
            </w:r>
          </w:p>
        </w:tc>
        <w:tc>
          <w:tcPr>
            <w:tcW w:type="dxa" w:w="2301"/>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AI Gateway routing policy</w:t>
            </w:r>
          </w:p>
        </w:tc>
        <w:tc>
          <w:tcPr>
            <w:tcW w:type="dxa" w:w="1241"/>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CISO</w:t>
            </w:r>
          </w:p>
        </w:tc>
      </w:tr>
      <w:tr>
        <w:trPr>
          <w:cantSplit/>
          <w:tblHeader w:val="false"/>
        </w:trPr>
        <w:tc>
          <w:tcPr>
            <w:tcW w:type="dxa" w:w="283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Personal data is masked before prompts</w:t>
            </w:r>
          </w:p>
        </w:tc>
        <w:tc>
          <w:tcPr>
            <w:tcW w:type="dxa" w:w="15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Data</w:t>
            </w:r>
          </w:p>
        </w:tc>
        <w:tc>
          <w:tcPr>
            <w:tcW w:type="dxa" w:w="1440"/>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Not enforced</w:t>
            </w:r>
          </w:p>
        </w:tc>
        <w:tc>
          <w:tcPr>
            <w:tcW w:type="dxa" w:w="2301"/>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AI Gateway masking and PII detection</w:t>
            </w:r>
          </w:p>
        </w:tc>
        <w:tc>
          <w:tcPr>
            <w:tcW w:type="dxa" w:w="1241"/>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Privacy officer</w:t>
            </w:r>
          </w:p>
        </w:tc>
      </w:tr>
      <w:tr>
        <w:trPr>
          <w:cantSplit/>
          <w:tblHeader w:val="false"/>
        </w:trPr>
        <w:tc>
          <w:tcPr>
            <w:tcW w:type="dxa" w:w="2838"/>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Token budget per launch</w:t>
            </w:r>
          </w:p>
          <w:p>
            <w:pPr>
              <w:spacing w:after="0" w:before="0" w:line="252"/>
            </w:pPr>
            <w:r>
              <w:rPr>
                <w:rFonts w:ascii="Calibri" w:cs="Calibri" w:eastAsia="Calibri" w:hAnsi="Calibri"/>
                <w:sz w:val="18"/>
                <w:szCs w:val="18"/>
              </w:rPr>
              <w:t xml:space="preserve">AI cost per launch within its target</w:t>
            </w:r>
          </w:p>
        </w:tc>
        <w:tc>
          <w:tcPr>
            <w:tcW w:type="dxa" w:w="15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Cost limit</w:t>
            </w:r>
          </w:p>
        </w:tc>
        <w:tc>
          <w:tcPr>
            <w:tcW w:type="dxa" w:w="1440"/>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Not measured</w:t>
            </w:r>
          </w:p>
        </w:tc>
        <w:tc>
          <w:tcPr>
            <w:tcW w:type="dxa" w:w="2301"/>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AI Gateway token-based rate limits</w:t>
            </w:r>
          </w:p>
          <w:p>
            <w:pPr>
              <w:spacing w:after="0" w:before="0" w:line="252"/>
            </w:pPr>
            <w:r>
              <w:rPr>
                <w:rFonts w:ascii="Calibri" w:cs="Calibri" w:eastAsia="Calibri" w:hAnsi="Calibri"/>
                <w:sz w:val="18"/>
                <w:szCs w:val="18"/>
              </w:rPr>
              <w:t xml:space="preserve">Spend attribution in LLM Governance</w:t>
            </w:r>
          </w:p>
        </w:tc>
        <w:tc>
          <w:tcPr>
            <w:tcW w:type="dxa" w:w="1241"/>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Finance</w:t>
            </w:r>
          </w:p>
          <w:p>
            <w:pPr>
              <w:spacing w:after="0" w:before="0" w:line="252"/>
            </w:pPr>
            <w:r>
              <w:rPr>
                <w:rFonts w:ascii="Calibri" w:cs="Calibri" w:eastAsia="Calibri" w:hAnsi="Calibri"/>
                <w:sz w:val="18"/>
                <w:szCs w:val="18"/>
              </w:rPr>
              <w:t xml:space="preserve">Platform owner</w:t>
            </w:r>
          </w:p>
        </w:tc>
      </w:tr>
      <w:tr>
        <w:trPr>
          <w:cantSplit/>
          <w:tblHeader w:val="false"/>
        </w:trPr>
        <w:tc>
          <w:tcPr>
            <w:tcW w:type="dxa" w:w="283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Information barriers between engagements</w:t>
            </w:r>
          </w:p>
        </w:tc>
        <w:tc>
          <w:tcPr>
            <w:tcW w:type="dxa" w:w="15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Data access</w:t>
            </w:r>
          </w:p>
        </w:tc>
        <w:tc>
          <w:tcPr>
            <w:tcW w:type="dxa" w:w="14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Partly (document permissions)</w:t>
            </w:r>
          </w:p>
        </w:tc>
        <w:tc>
          <w:tcPr>
            <w:tcW w:type="dxa" w:w="2301"/>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Retrieval filtering</w:t>
            </w:r>
          </w:p>
          <w:p>
            <w:pPr>
              <w:spacing w:after="80" w:before="0" w:line="252"/>
            </w:pPr>
            <w:r>
              <w:rPr>
                <w:rFonts w:ascii="Calibri" w:cs="Calibri" w:eastAsia="Calibri" w:hAnsi="Calibri"/>
                <w:sz w:val="18"/>
                <w:szCs w:val="18"/>
              </w:rPr>
              <w:t xml:space="preserve">Partitioned indexes</w:t>
            </w:r>
          </w:p>
          <w:p>
            <w:pPr>
              <w:spacing w:after="0" w:before="0" w:line="252"/>
            </w:pPr>
            <w:r>
              <w:rPr>
                <w:rFonts w:ascii="Calibri" w:cs="Calibri" w:eastAsia="Calibri" w:hAnsi="Calibri"/>
                <w:sz w:val="18"/>
                <w:szCs w:val="18"/>
              </w:rPr>
              <w:t xml:space="preserve">Snowflake row-access policies</w:t>
            </w:r>
          </w:p>
        </w:tc>
        <w:tc>
          <w:tcPr>
            <w:tcW w:type="dxa" w:w="1241"/>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Risk &amp; Quality</w:t>
            </w:r>
          </w:p>
        </w:tc>
      </w:tr>
      <w:tr>
        <w:trPr>
          <w:cantSplit/>
          <w:tblHeader w:val="false"/>
        </w:trPr>
        <w:tc>
          <w:tcPr>
            <w:tcW w:type="dxa" w:w="2838"/>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Autonomy tiers and new agents approved by the AI governance council</w:t>
            </w:r>
          </w:p>
          <w:p>
            <w:pPr>
              <w:spacing w:after="0" w:before="0" w:line="252"/>
            </w:pPr>
            <w:r>
              <w:rPr>
                <w:rFonts w:ascii="Calibri" w:cs="Calibri" w:eastAsia="Calibri" w:hAnsi="Calibri"/>
                <w:sz w:val="18"/>
                <w:szCs w:val="18"/>
              </w:rPr>
              <w:t xml:space="preserve">Evaluation before promotion</w:t>
            </w:r>
          </w:p>
        </w:tc>
        <w:tc>
          <w:tcPr>
            <w:tcW w:type="dxa" w:w="15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Governance</w:t>
            </w:r>
          </w:p>
        </w:tc>
        <w:tc>
          <w:tcPr>
            <w:tcW w:type="dxa" w:w="1440"/>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None</w:t>
            </w:r>
          </w:p>
        </w:tc>
        <w:tc>
          <w:tcPr>
            <w:tcW w:type="dxa" w:w="2301"/>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Agent Registry tiers</w:t>
            </w:r>
          </w:p>
          <w:p>
            <w:pPr>
              <w:spacing w:after="0" w:before="0" w:line="252"/>
            </w:pPr>
            <w:r>
              <w:rPr>
                <w:rFonts w:ascii="Calibri" w:cs="Calibri" w:eastAsia="Calibri" w:hAnsi="Calibri"/>
                <w:sz w:val="18"/>
                <w:szCs w:val="18"/>
              </w:rPr>
              <w:t xml:space="preserve">Evaluation suites (any evaluation tool)</w:t>
            </w:r>
          </w:p>
        </w:tc>
        <w:tc>
          <w:tcPr>
            <w:tcW w:type="dxa" w:w="1241"/>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AI governance council</w:t>
            </w:r>
          </w:p>
        </w:tc>
      </w:tr>
      <w:tr>
        <w:trPr>
          <w:cantSplit/>
          <w:tblHeader w:val="false"/>
        </w:trPr>
        <w:tc>
          <w:tcPr>
            <w:tcW w:type="dxa" w:w="283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Auditor-independence rules</w:t>
            </w:r>
            <w:hyperlink w:history="1" w:anchor="en_89">
              <w:r>
                <w:rPr>
                  <w:rFonts w:ascii="Calibri" w:cs="Calibri" w:eastAsia="Calibri" w:hAnsi="Calibri"/>
                  <w:color w:val="0369A1"/>
                  <w:sz w:val="18"/>
                  <w:szCs w:val="18"/>
                  <w:vertAlign w:val="superscript"/>
                </w:rPr>
                <w:t xml:space="preserve">89</w:t>
              </w:r>
            </w:hyperlink>
          </w:p>
        </w:tc>
        <w:tc>
          <w:tcPr>
            <w:tcW w:type="dxa" w:w="15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Regulatory</w:t>
            </w:r>
          </w:p>
        </w:tc>
        <w:tc>
          <w:tcPr>
            <w:tcW w:type="dxa" w:w="1440"/>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Manual evidence</w:t>
            </w:r>
          </w:p>
        </w:tc>
        <w:tc>
          <w:tcPr>
            <w:tcW w:type="dxa" w:w="2301"/>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Evidence and lineage attached to every decision</w:t>
            </w:r>
          </w:p>
        </w:tc>
        <w:tc>
          <w:tcPr>
            <w:tcW w:type="dxa" w:w="1241"/>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Risk &amp; Quality</w:t>
            </w:r>
          </w:p>
        </w:tc>
      </w:tr>
    </w:tbl>
    <w:p>
      <w:pPr>
        <w:spacing w:after="120"/>
      </w:pPr>
    </w:p>
    <w:p>
      <w:pPr>
        <w:pStyle w:val="Heading3"/>
        <w:keepNext/>
      </w:pPr>
      <w:r>
        <w:rPr>
          <w:rFonts w:ascii="Calibri" w:cs="Calibri" w:eastAsia="Calibri" w:hAnsi="Calibri"/>
        </w:rPr>
        <w:t xml:space="preserve">T3h. Infrastructure, runtime and observability</w:t>
      </w:r>
    </w:p>
    <w:tbl>
      <w:tblPr>
        <w:tblW w:type="dxa" w:w="9360"/>
        <w:tblBorders>
          <w:top w:val="single" w:color="CBD5E1" w:sz="4"/>
          <w:left w:val="single" w:color="CBD5E1" w:sz="4"/>
          <w:bottom w:val="single" w:color="CBD5E1" w:sz="4"/>
          <w:right w:val="single" w:color="CBD5E1" w:sz="4"/>
          <w:insideH w:val="single" w:color="CBD5E1" w:sz="4"/>
          <w:insideV w:val="single" w:color="CBD5E1" w:sz="4"/>
        </w:tblBorders>
        <w:tblLayout w:type="fixed"/>
      </w:tblPr>
      <w:tblGrid>
        <w:gridCol w:w="2358"/>
        <w:gridCol w:w="7002"/>
      </w:tblGrid>
      <w:tr>
        <w:trPr>
          <w:cantSplit/>
          <w:tblHeader/>
        </w:trPr>
        <w:tc>
          <w:tcPr>
            <w:tcW w:type="dxa" w:w="2358"/>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Component</w:t>
            </w:r>
          </w:p>
        </w:tc>
        <w:tc>
          <w:tcPr>
            <w:tcW w:type="dxa" w:w="7002"/>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Notes</w:t>
            </w:r>
          </w:p>
        </w:tc>
      </w:tr>
      <w:tr>
        <w:trPr>
          <w:cantSplit/>
          <w:tblHeader w:val="false"/>
        </w:trPr>
        <w:tc>
          <w:tcPr>
            <w:tcW w:type="dxa" w:w="2358"/>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Firm virtual private cloud</w:t>
            </w:r>
          </w:p>
        </w:tc>
        <w:tc>
          <w:tcPr>
            <w:tcW w:type="dxa" w:w="7002"/>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Gateways, MCP servers and the self-hosted model run inside the firm’s VPC where confidentiality requires</w:t>
            </w:r>
          </w:p>
        </w:tc>
      </w:tr>
      <w:tr>
        <w:trPr>
          <w:cantSplit/>
          <w:tblHeader w:val="false"/>
        </w:trPr>
        <w:tc>
          <w:tcPr>
            <w:tcW w:type="dxa" w:w="2358"/>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Private connectivity</w:t>
            </w:r>
          </w:p>
        </w:tc>
        <w:tc>
          <w:tcPr>
            <w:tcW w:type="dxa" w:w="7002"/>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Private links to SAP, Workday and Snowflake, with no public endpoints for systems of record</w:t>
            </w:r>
          </w:p>
        </w:tc>
      </w:tr>
      <w:tr>
        <w:trPr>
          <w:cantSplit/>
          <w:tblHeader w:val="false"/>
        </w:trPr>
        <w:tc>
          <w:tcPr>
            <w:tcW w:type="dxa" w:w="2358"/>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Keys and secrets</w:t>
            </w:r>
          </w:p>
        </w:tc>
        <w:tc>
          <w:tcPr>
            <w:tcW w:type="dxa" w:w="7002"/>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Customer-managed keys in a KMS or HSM</w:t>
            </w:r>
          </w:p>
          <w:p>
            <w:pPr>
              <w:spacing w:after="0" w:before="0" w:line="252"/>
            </w:pPr>
            <w:r>
              <w:rPr>
                <w:rFonts w:ascii="Calibri" w:cs="Calibri" w:eastAsia="Calibri" w:hAnsi="Calibri"/>
                <w:sz w:val="18"/>
                <w:szCs w:val="18"/>
              </w:rPr>
              <w:t xml:space="preserve">AES-256 at rest</w:t>
            </w:r>
          </w:p>
        </w:tc>
      </w:tr>
      <w:tr>
        <w:trPr>
          <w:cantSplit/>
          <w:tblHeader w:val="false"/>
        </w:trPr>
        <w:tc>
          <w:tcPr>
            <w:tcW w:type="dxa" w:w="2358"/>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Transport</w:t>
            </w:r>
          </w:p>
        </w:tc>
        <w:tc>
          <w:tcPr>
            <w:tcW w:type="dxa" w:w="7002"/>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TLS 1.3 everywhere</w:t>
            </w:r>
          </w:p>
          <w:p>
            <w:pPr>
              <w:spacing w:after="80" w:before="0" w:line="252"/>
            </w:pPr>
            <w:r>
              <w:rPr>
                <w:rFonts w:ascii="Calibri" w:cs="Calibri" w:eastAsia="Calibri" w:hAnsi="Calibri"/>
                <w:sz w:val="18"/>
                <w:szCs w:val="18"/>
              </w:rPr>
              <w:t xml:space="preserve">mTLS between services</w:t>
            </w:r>
          </w:p>
          <w:p>
            <w:pPr>
              <w:spacing w:after="0" w:before="0" w:line="252"/>
            </w:pPr>
            <w:r>
              <w:rPr>
                <w:rFonts w:ascii="Calibri" w:cs="Calibri" w:eastAsia="Calibri" w:hAnsi="Calibri"/>
                <w:sz w:val="18"/>
                <w:szCs w:val="18"/>
              </w:rPr>
              <w:t xml:space="preserve">Hybrid post-quantum key exchange at gateways as vendors support it</w:t>
            </w:r>
          </w:p>
        </w:tc>
      </w:tr>
      <w:tr>
        <w:trPr>
          <w:cantSplit/>
          <w:tblHeader w:val="false"/>
        </w:trPr>
        <w:tc>
          <w:tcPr>
            <w:tcW w:type="dxa" w:w="2358"/>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Observability</w:t>
            </w:r>
          </w:p>
        </w:tc>
        <w:tc>
          <w:tcPr>
            <w:tcW w:type="dxa" w:w="7002"/>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OpenTelemetry traces for every hop, tied to one engagement correlation ID, feeding the firm’s SIEM and an operations dashboard</w:t>
            </w:r>
            <w:hyperlink w:history="1" w:anchor="en_94">
              <w:r>
                <w:rPr>
                  <w:rFonts w:ascii="Calibri" w:cs="Calibri" w:eastAsia="Calibri" w:hAnsi="Calibri"/>
                  <w:color w:val="0369A1"/>
                  <w:sz w:val="18"/>
                  <w:szCs w:val="18"/>
                  <w:vertAlign w:val="superscript"/>
                </w:rPr>
                <w:t xml:space="preserve">94</w:t>
              </w:r>
            </w:hyperlink>
          </w:p>
        </w:tc>
      </w:tr>
    </w:tbl>
    <w:p>
      <w:pPr>
        <w:spacing w:after="120"/>
      </w:pPr>
    </w:p>
    <w:tbl>
      <w:tblPr>
        <w:tblW w:type="dxa" w:w="9360"/>
        <w:tblBorders>
          <w:top w:val="single" w:color="CBD5E1" w:sz="4"/>
          <w:left w:val="single" w:color="CBD5E1" w:sz="4"/>
          <w:bottom w:val="single" w:color="CBD5E1" w:sz="4"/>
          <w:right w:val="single" w:color="CBD5E1" w:sz="4"/>
          <w:insideH w:val="single" w:color="CBD5E1" w:sz="4"/>
          <w:insideV w:val="single" w:color="CBD5E1" w:sz="4"/>
        </w:tblBorders>
        <w:tblLayout w:type="fixed"/>
      </w:tblPr>
      <w:tblGrid>
        <w:gridCol w:w="9360"/>
      </w:tblGrid>
      <w:tr>
        <w:trPr>
          <w:cantSplit/>
        </w:trPr>
        <w:tc>
          <w:tcPr>
            <w:tcW w:type="dxa" w:w="9360"/>
            <w:shd w:fill="F1F5F9" w:color="auto" w:val="clear"/>
            <w:tcMar>
              <w:top w:type="dxa" w:w="140"/>
              <w:left w:type="dxa" w:w="200"/>
              <w:bottom w:type="dxa" w:w="140"/>
              <w:right w:type="dxa" w:w="200"/>
            </w:tcMar>
          </w:tcPr>
          <w:p>
            <w:pPr>
              <w:spacing w:after="100"/>
            </w:pPr>
            <w:r>
              <w:rPr>
                <w:rFonts w:ascii="Calibri" w:cs="Calibri" w:eastAsia="Calibri" w:hAnsi="Calibri"/>
                <w:b/>
                <w:bCs/>
                <w:color w:val="1E293B"/>
                <w:sz w:val="22"/>
                <w:szCs w:val="22"/>
              </w:rPr>
              <w:t xml:space="preserve">Why it is filled this way</w:t>
            </w:r>
          </w:p>
          <w:p>
            <w:pPr>
              <w:spacing w:after="80"/>
            </w:pPr>
            <w:r>
              <w:rPr>
                <w:rFonts w:ascii="Calibri" w:cs="Calibri" w:eastAsia="Calibri" w:hAnsi="Calibri"/>
                <w:sz w:val="20"/>
                <w:szCs w:val="20"/>
              </w:rPr>
              <w:t xml:space="preserve">The inventory counts six systems of record, seven agents, four models, fifteen MCP tools, four master data domains and nine policies. Those counts become the discovery slide, and every row has an owner.</w:t>
            </w:r>
          </w:p>
          <w:p>
            <w:pPr>
              <w:spacing w:after="80"/>
            </w:pPr>
            <w:r>
              <w:rPr>
                <w:rFonts w:ascii="Calibri" w:cs="Calibri" w:eastAsia="Calibri" w:hAnsi="Calibri"/>
                <w:sz w:val="20"/>
                <w:szCs w:val="20"/>
              </w:rPr>
              <w:t xml:space="preserve">The master data hub appears as a system even though the golden record is “to extend”: a missed subsidiary is a missed conflict, so the client master is on the critical path from phase 1.</w:t>
            </w:r>
          </w:p>
          <w:p>
            <w:pPr>
              <w:spacing w:after="80"/>
            </w:pPr>
            <w:r>
              <w:rPr>
                <w:rFonts w:ascii="Calibri" w:cs="Calibri" w:eastAsia="Calibri" w:hAnsi="Calibri"/>
                <w:sz w:val="20"/>
                <w:szCs w:val="20"/>
              </w:rPr>
              <w:t xml:space="preserve">Most policies are “manual” or “not enforced” today. That column makes the case for the control plane, which enforces the same rules at runtime in the gateway path.</w:t>
            </w:r>
          </w:p>
          <w:p>
            <w:pPr>
              <w:spacing w:after="80"/>
            </w:pPr>
            <w:r>
              <w:rPr>
                <w:rFonts w:ascii="Calibri" w:cs="Calibri" w:eastAsia="Calibri" w:hAnsi="Calibri"/>
                <w:sz w:val="20"/>
                <w:szCs w:val="20"/>
              </w:rPr>
              <w:t xml:space="preserve">Owners marked “proposed” are the lead architect’s suggestion for the firm to confirm. The handbook names Risk &amp; Quality, Finance and Talent as owners of their agents.</w:t>
            </w:r>
          </w:p>
          <w:p>
            <w:pPr>
              <w:spacing w:after="80"/>
            </w:pPr>
            <w:r>
              <w:rPr>
                <w:rFonts w:ascii="Calibri" w:cs="Calibri" w:eastAsia="Calibri" w:hAnsi="Calibri"/>
                <w:sz w:val="20"/>
                <w:szCs w:val="20"/>
              </w:rPr>
              <w:t xml:space="preserve">Every agent also has a named sponsor and a recertification date. The independence and setup agents are recertified quarterly, because one supports regulated work and the other writes to SAP.</w:t>
            </w:r>
          </w:p>
        </w:tc>
      </w:tr>
    </w:tbl>
    <w:p>
      <w:pPr>
        <w:spacing w:after="120"/>
      </w:pPr>
    </w:p>
    <w:p>
      <w:pPr>
        <w:pStyle w:val="Heading2"/>
        <w:keepNext/>
        <w:pageBreakBefore/>
      </w:pPr>
      <w:bookmarkStart w:name="p2_T4" w:id="20"/>
      <w:r>
        <w:rPr>
          <w:rFonts w:ascii="Calibri" w:cs="Calibri" w:eastAsia="Calibri" w:hAnsi="Calibri"/>
        </w:rPr>
        <w:t xml:space="preserve">T4 filled: requirements register</w:t>
      </w:r>
      <w:bookmarkEnd w:id="20"/>
    </w:p>
    <w:tbl>
      <w:tblPr>
        <w:tblW w:type="dxa" w:w="9360"/>
        <w:tblBorders>
          <w:top w:val="single" w:color="CBD5E1" w:sz="4"/>
          <w:left w:val="single" w:color="CBD5E1" w:sz="4"/>
          <w:bottom w:val="single" w:color="CBD5E1" w:sz="4"/>
          <w:right w:val="single" w:color="CBD5E1" w:sz="4"/>
          <w:insideH w:val="single" w:color="CBD5E1" w:sz="4"/>
          <w:insideV w:val="single" w:color="CBD5E1" w:sz="4"/>
        </w:tblBorders>
        <w:tblLayout w:type="fixed"/>
      </w:tblPr>
      <w:tblGrid>
        <w:gridCol w:w="700"/>
        <w:gridCol w:w="1340"/>
        <w:gridCol w:w="2604"/>
        <w:gridCol w:w="1136"/>
        <w:gridCol w:w="1540"/>
        <w:gridCol w:w="800"/>
        <w:gridCol w:w="1240"/>
      </w:tblGrid>
      <w:tr>
        <w:trPr>
          <w:cantSplit/>
          <w:tblHeader/>
        </w:trPr>
        <w:tc>
          <w:tcPr>
            <w:tcW w:type="dxa" w:w="700"/>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ID</w:t>
            </w:r>
          </w:p>
        </w:tc>
        <w:tc>
          <w:tcPr>
            <w:tcW w:type="dxa" w:w="1340"/>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Type</w:t>
            </w:r>
          </w:p>
        </w:tc>
        <w:tc>
          <w:tcPr>
            <w:tcW w:type="dxa" w:w="2604"/>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Requirement</w:t>
            </w:r>
          </w:p>
        </w:tc>
        <w:tc>
          <w:tcPr>
            <w:tcW w:type="dxa" w:w="1136"/>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Priority</w:t>
            </w:r>
          </w:p>
        </w:tc>
        <w:tc>
          <w:tcPr>
            <w:tcW w:type="dxa" w:w="1540"/>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KPI</w:t>
            </w:r>
          </w:p>
        </w:tc>
        <w:tc>
          <w:tcPr>
            <w:tcW w:type="dxa" w:w="800"/>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Phase</w:t>
            </w:r>
          </w:p>
        </w:tc>
        <w:tc>
          <w:tcPr>
            <w:tcW w:type="dxa" w:w="1240"/>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Owner</w:t>
            </w:r>
          </w:p>
        </w:tc>
      </w:tr>
      <w:tr>
        <w:trPr>
          <w:cantSplit/>
          <w:tblHeader w:val="false"/>
        </w:trPr>
        <w:tc>
          <w:tcPr>
            <w:tcW w:type="dxa" w:w="700"/>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BR-01</w:t>
            </w:r>
          </w:p>
        </w:tc>
        <w:tc>
          <w:tcPr>
            <w:tcW w:type="dxa" w:w="13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Business</w:t>
            </w:r>
          </w:p>
        </w:tc>
        <w:tc>
          <w:tcPr>
            <w:tcW w:type="dxa" w:w="2604"/>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Cut verbal-win-to-ready-to-charge from 10 to 2 business days</w:t>
            </w:r>
          </w:p>
        </w:tc>
        <w:tc>
          <w:tcPr>
            <w:tcW w:type="dxa" w:w="1136"/>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Must</w:t>
            </w:r>
          </w:p>
        </w:tc>
        <w:tc>
          <w:tcPr>
            <w:tcW w:type="dxa" w:w="15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Win-to-ready-to-charge</w:t>
            </w:r>
          </w:p>
        </w:tc>
        <w:tc>
          <w:tcPr>
            <w:tcW w:type="dxa" w:w="80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3</w:t>
            </w:r>
          </w:p>
        </w:tc>
        <w:tc>
          <w:tcPr>
            <w:tcW w:type="dxa" w:w="12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Business owner</w:t>
            </w:r>
          </w:p>
        </w:tc>
      </w:tr>
      <w:tr>
        <w:trPr>
          <w:cantSplit/>
          <w:tblHeader w:val="false"/>
        </w:trPr>
        <w:tc>
          <w:tcPr>
            <w:tcW w:type="dxa" w:w="700"/>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BR-02</w:t>
            </w:r>
          </w:p>
        </w:tc>
        <w:tc>
          <w:tcPr>
            <w:tcW w:type="dxa" w:w="13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Business</w:t>
            </w:r>
          </w:p>
        </w:tc>
        <w:tc>
          <w:tcPr>
            <w:tcW w:type="dxa" w:w="2604"/>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Cut manual effort per launch from 14 to 5 hours</w:t>
            </w:r>
          </w:p>
        </w:tc>
        <w:tc>
          <w:tcPr>
            <w:tcW w:type="dxa" w:w="1136"/>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Must</w:t>
            </w:r>
          </w:p>
        </w:tc>
        <w:tc>
          <w:tcPr>
            <w:tcW w:type="dxa" w:w="15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Manual effort per launch</w:t>
            </w:r>
          </w:p>
        </w:tc>
        <w:tc>
          <w:tcPr>
            <w:tcW w:type="dxa" w:w="80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1–3</w:t>
            </w:r>
          </w:p>
        </w:tc>
        <w:tc>
          <w:tcPr>
            <w:tcW w:type="dxa" w:w="12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Business owner</w:t>
            </w:r>
          </w:p>
        </w:tc>
      </w:tr>
      <w:tr>
        <w:trPr>
          <w:cantSplit/>
          <w:tblHeader w:val="false"/>
        </w:trPr>
        <w:tc>
          <w:tcPr>
            <w:tcW w:type="dxa" w:w="700"/>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BR-03</w:t>
            </w:r>
          </w:p>
        </w:tc>
        <w:tc>
          <w:tcPr>
            <w:tcW w:type="dxa" w:w="13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Business</w:t>
            </w:r>
          </w:p>
        </w:tc>
        <w:tc>
          <w:tcPr>
            <w:tcW w:type="dxa" w:w="2604"/>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Every independence decision is made by a person before work starts, with evidence and lineage</w:t>
            </w:r>
          </w:p>
        </w:tc>
        <w:tc>
          <w:tcPr>
            <w:tcW w:type="dxa" w:w="1136"/>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Must</w:t>
            </w:r>
          </w:p>
        </w:tc>
        <w:tc>
          <w:tcPr>
            <w:tcW w:type="dxa" w:w="15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Independence cleared before start</w:t>
            </w:r>
          </w:p>
        </w:tc>
        <w:tc>
          <w:tcPr>
            <w:tcW w:type="dxa" w:w="80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1</w:t>
            </w:r>
          </w:p>
        </w:tc>
        <w:tc>
          <w:tcPr>
            <w:tcW w:type="dxa" w:w="12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Risk &amp; Quality</w:t>
            </w:r>
          </w:p>
        </w:tc>
      </w:tr>
      <w:tr>
        <w:trPr>
          <w:cantSplit/>
          <w:tblHeader w:val="false"/>
        </w:trPr>
        <w:tc>
          <w:tcPr>
            <w:tcW w:type="dxa" w:w="700"/>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FR-01</w:t>
            </w:r>
          </w:p>
        </w:tc>
        <w:tc>
          <w:tcPr>
            <w:tcW w:type="dxa" w:w="13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Functional</w:t>
            </w:r>
          </w:p>
        </w:tc>
        <w:tc>
          <w:tcPr>
            <w:tcW w:type="dxa" w:w="2604"/>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On verbal win, create a launch plan with a correlation ID and show it to the engagement manager within a minute</w:t>
            </w:r>
          </w:p>
        </w:tc>
        <w:tc>
          <w:tcPr>
            <w:tcW w:type="dxa" w:w="1136"/>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Must</w:t>
            </w:r>
          </w:p>
        </w:tc>
        <w:tc>
          <w:tcPr>
            <w:tcW w:type="dxa" w:w="15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Win-to-ready-to-charge</w:t>
            </w:r>
          </w:p>
        </w:tc>
        <w:tc>
          <w:tcPr>
            <w:tcW w:type="dxa" w:w="80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1</w:t>
            </w:r>
          </w:p>
        </w:tc>
        <w:tc>
          <w:tcPr>
            <w:tcW w:type="dxa" w:w="12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Practice operations</w:t>
            </w:r>
          </w:p>
        </w:tc>
      </w:tr>
      <w:tr>
        <w:trPr>
          <w:cantSplit/>
          <w:tblHeader w:val="false"/>
        </w:trPr>
        <w:tc>
          <w:tcPr>
            <w:tcW w:type="dxa" w:w="700"/>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FR-02</w:t>
            </w:r>
          </w:p>
        </w:tc>
        <w:tc>
          <w:tcPr>
            <w:tcW w:type="dxa" w:w="13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Functional</w:t>
            </w:r>
          </w:p>
        </w:tc>
        <w:tc>
          <w:tcPr>
            <w:tcW w:type="dxa" w:w="2604"/>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Resolve the client to its golden record with the full hierarchy (ultimate parent, affiliates, subsidiaries) and identifiers</w:t>
            </w:r>
          </w:p>
        </w:tc>
        <w:tc>
          <w:tcPr>
            <w:tcW w:type="dxa" w:w="1136"/>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Must</w:t>
            </w:r>
          </w:p>
        </w:tc>
        <w:tc>
          <w:tcPr>
            <w:tcW w:type="dxa" w:w="15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Post-start exceptions</w:t>
            </w:r>
          </w:p>
        </w:tc>
        <w:tc>
          <w:tcPr>
            <w:tcW w:type="dxa" w:w="80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1</w:t>
            </w:r>
          </w:p>
        </w:tc>
        <w:tc>
          <w:tcPr>
            <w:tcW w:type="dxa" w:w="12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Data governance</w:t>
            </w:r>
          </w:p>
        </w:tc>
      </w:tr>
      <w:tr>
        <w:trPr>
          <w:cantSplit/>
          <w:tblHeader w:val="false"/>
        </w:trPr>
        <w:tc>
          <w:tcPr>
            <w:tcW w:type="dxa" w:w="700"/>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FR-03</w:t>
            </w:r>
          </w:p>
        </w:tc>
        <w:tc>
          <w:tcPr>
            <w:tcW w:type="dxa" w:w="13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Functional</w:t>
            </w:r>
          </w:p>
        </w:tc>
        <w:tc>
          <w:tcPr>
            <w:tcW w:type="dxa" w:w="2604"/>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Run conflict and independence searches and assemble findings and precedent for a reviewer to decide (Tier 1)</w:t>
            </w:r>
          </w:p>
        </w:tc>
        <w:tc>
          <w:tcPr>
            <w:tcW w:type="dxa" w:w="1136"/>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Must</w:t>
            </w:r>
          </w:p>
        </w:tc>
        <w:tc>
          <w:tcPr>
            <w:tcW w:type="dxa" w:w="15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Independence cleared before start</w:t>
            </w:r>
          </w:p>
        </w:tc>
        <w:tc>
          <w:tcPr>
            <w:tcW w:type="dxa" w:w="80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1</w:t>
            </w:r>
          </w:p>
        </w:tc>
        <w:tc>
          <w:tcPr>
            <w:tcW w:type="dxa" w:w="12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Risk &amp; Quality</w:t>
            </w:r>
          </w:p>
        </w:tc>
      </w:tr>
      <w:tr>
        <w:trPr>
          <w:cantSplit/>
          <w:tblHeader w:val="false"/>
        </w:trPr>
        <w:tc>
          <w:tcPr>
            <w:tcW w:type="dxa" w:w="700"/>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FR-04</w:t>
            </w:r>
          </w:p>
        </w:tc>
        <w:tc>
          <w:tcPr>
            <w:tcW w:type="dxa" w:w="13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Functional</w:t>
            </w:r>
          </w:p>
        </w:tc>
        <w:tc>
          <w:tcPr>
            <w:tcW w:type="dxa" w:w="2604"/>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Draft the engagement letter from approved templates and clauses, and route any deviation to Risk &amp; Quality</w:t>
            </w:r>
          </w:p>
        </w:tc>
        <w:tc>
          <w:tcPr>
            <w:tcW w:type="dxa" w:w="1136"/>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Must</w:t>
            </w:r>
          </w:p>
        </w:tc>
        <w:tc>
          <w:tcPr>
            <w:tcW w:type="dxa" w:w="15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Manual effort per launch</w:t>
            </w:r>
          </w:p>
        </w:tc>
        <w:tc>
          <w:tcPr>
            <w:tcW w:type="dxa" w:w="80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2</w:t>
            </w:r>
          </w:p>
        </w:tc>
        <w:tc>
          <w:tcPr>
            <w:tcW w:type="dxa" w:w="12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Risk &amp; Quality</w:t>
            </w:r>
          </w:p>
        </w:tc>
      </w:tr>
      <w:tr>
        <w:trPr>
          <w:cantSplit/>
          <w:tblHeader w:val="false"/>
        </w:trPr>
        <w:tc>
          <w:tcPr>
            <w:tcW w:type="dxa" w:w="700"/>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FR-05</w:t>
            </w:r>
          </w:p>
        </w:tc>
        <w:tc>
          <w:tcPr>
            <w:tcW w:type="dxa" w:w="13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Functional</w:t>
            </w:r>
          </w:p>
        </w:tc>
        <w:tc>
          <w:tcPr>
            <w:tcW w:type="dxa" w:w="2604"/>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Build the budget from rate cards and historical actuals and check the margin against target</w:t>
            </w:r>
          </w:p>
        </w:tc>
        <w:tc>
          <w:tcPr>
            <w:tcW w:type="dxa" w:w="1136"/>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Should</w:t>
            </w:r>
          </w:p>
        </w:tc>
        <w:tc>
          <w:tcPr>
            <w:tcW w:type="dxa" w:w="15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Manual effort per launch</w:t>
            </w:r>
          </w:p>
        </w:tc>
        <w:tc>
          <w:tcPr>
            <w:tcW w:type="dxa" w:w="80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2</w:t>
            </w:r>
          </w:p>
        </w:tc>
        <w:tc>
          <w:tcPr>
            <w:tcW w:type="dxa" w:w="12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Finance</w:t>
            </w:r>
          </w:p>
        </w:tc>
      </w:tr>
      <w:tr>
        <w:trPr>
          <w:cantSplit/>
          <w:tblHeader w:val="false"/>
        </w:trPr>
        <w:tc>
          <w:tcPr>
            <w:tcW w:type="dxa" w:w="700"/>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FR-06</w:t>
            </w:r>
          </w:p>
        </w:tc>
        <w:tc>
          <w:tcPr>
            <w:tcW w:type="dxa" w:w="13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Functional</w:t>
            </w:r>
          </w:p>
        </w:tc>
        <w:tc>
          <w:tcPr>
            <w:tcW w:type="dxa" w:w="2604"/>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Propose a team by skills, availability, location and independence clearance</w:t>
            </w:r>
          </w:p>
        </w:tc>
        <w:tc>
          <w:tcPr>
            <w:tcW w:type="dxa" w:w="1136"/>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Must</w:t>
            </w:r>
          </w:p>
        </w:tc>
        <w:tc>
          <w:tcPr>
            <w:tcW w:type="dxa" w:w="15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Staffing within 48 hours</w:t>
            </w:r>
          </w:p>
        </w:tc>
        <w:tc>
          <w:tcPr>
            <w:tcW w:type="dxa" w:w="80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2</w:t>
            </w:r>
          </w:p>
        </w:tc>
        <w:tc>
          <w:tcPr>
            <w:tcW w:type="dxa" w:w="12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Talent</w:t>
            </w:r>
          </w:p>
        </w:tc>
      </w:tr>
      <w:tr>
        <w:trPr>
          <w:cantSplit/>
          <w:tblHeader w:val="false"/>
        </w:trPr>
        <w:tc>
          <w:tcPr>
            <w:tcW w:type="dxa" w:w="700"/>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FR-07</w:t>
            </w:r>
          </w:p>
        </w:tc>
        <w:tc>
          <w:tcPr>
            <w:tcW w:type="dxa" w:w="13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Functional</w:t>
            </w:r>
          </w:p>
        </w:tc>
        <w:tc>
          <w:tcPr>
            <w:tcW w:type="dxa" w:w="2604"/>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Create the SAP project, WBS, billing plan and charge codes only when independence is cleared, the partner has approved that exact request and the letter is signed</w:t>
            </w:r>
          </w:p>
        </w:tc>
        <w:tc>
          <w:tcPr>
            <w:tcW w:type="dxa" w:w="1136"/>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Must</w:t>
            </w:r>
          </w:p>
        </w:tc>
        <w:tc>
          <w:tcPr>
            <w:tcW w:type="dxa" w:w="15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First-time-right setup</w:t>
            </w:r>
          </w:p>
        </w:tc>
        <w:tc>
          <w:tcPr>
            <w:tcW w:type="dxa" w:w="80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3</w:t>
            </w:r>
          </w:p>
        </w:tc>
        <w:tc>
          <w:tcPr>
            <w:tcW w:type="dxa" w:w="12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Finance</w:t>
            </w:r>
          </w:p>
        </w:tc>
      </w:tr>
      <w:tr>
        <w:trPr>
          <w:cantSplit/>
          <w:tblHeader w:val="false"/>
        </w:trPr>
        <w:tc>
          <w:tcPr>
            <w:tcW w:type="dxa" w:w="700"/>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DR-01</w:t>
            </w:r>
          </w:p>
        </w:tc>
        <w:tc>
          <w:tcPr>
            <w:tcW w:type="dxa" w:w="13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Data</w:t>
            </w:r>
          </w:p>
        </w:tc>
        <w:tc>
          <w:tcPr>
            <w:tcW w:type="dxa" w:w="2604"/>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Maintain one golden record per legal entity with hierarchy, LEI and tax IDs, linked to the restricted-entity list, and monitor freshness and duplicates</w:t>
            </w:r>
          </w:p>
        </w:tc>
        <w:tc>
          <w:tcPr>
            <w:tcW w:type="dxa" w:w="1136"/>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Must</w:t>
            </w:r>
          </w:p>
        </w:tc>
        <w:tc>
          <w:tcPr>
            <w:tcW w:type="dxa" w:w="15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Post-start exceptions</w:t>
            </w:r>
          </w:p>
        </w:tc>
        <w:tc>
          <w:tcPr>
            <w:tcW w:type="dxa" w:w="80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1</w:t>
            </w:r>
          </w:p>
        </w:tc>
        <w:tc>
          <w:tcPr>
            <w:tcW w:type="dxa" w:w="12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Data governance</w:t>
            </w:r>
          </w:p>
        </w:tc>
      </w:tr>
      <w:tr>
        <w:trPr>
          <w:cantSplit/>
          <w:tblHeader w:val="false"/>
        </w:trPr>
        <w:tc>
          <w:tcPr>
            <w:tcW w:type="dxa" w:w="700"/>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DR-02</w:t>
            </w:r>
          </w:p>
        </w:tc>
        <w:tc>
          <w:tcPr>
            <w:tcW w:type="dxa" w:w="13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Data</w:t>
            </w:r>
          </w:p>
        </w:tc>
        <w:tc>
          <w:tcPr>
            <w:tcW w:type="dxa" w:w="2604"/>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Share one engagement ID across the opportunity, the independence case, the letter and the SAP project</w:t>
            </w:r>
          </w:p>
        </w:tc>
        <w:tc>
          <w:tcPr>
            <w:tcW w:type="dxa" w:w="1136"/>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Must</w:t>
            </w:r>
          </w:p>
        </w:tc>
        <w:tc>
          <w:tcPr>
            <w:tcW w:type="dxa" w:w="15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First-time-right setup</w:t>
            </w:r>
          </w:p>
        </w:tc>
        <w:tc>
          <w:tcPr>
            <w:tcW w:type="dxa" w:w="80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1–3</w:t>
            </w:r>
          </w:p>
        </w:tc>
        <w:tc>
          <w:tcPr>
            <w:tcW w:type="dxa" w:w="12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Finance</w:t>
            </w:r>
          </w:p>
        </w:tc>
      </w:tr>
      <w:tr>
        <w:trPr>
          <w:cantSplit/>
          <w:tblHeader w:val="false"/>
        </w:trPr>
        <w:tc>
          <w:tcPr>
            <w:tcW w:type="dxa" w:w="700"/>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DR-03</w:t>
            </w:r>
          </w:p>
        </w:tc>
        <w:tc>
          <w:tcPr>
            <w:tcW w:type="dxa" w:w="13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Data</w:t>
            </w:r>
          </w:p>
        </w:tc>
        <w:tc>
          <w:tcPr>
            <w:tcW w:type="dxa" w:w="2604"/>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Publish a glossary, shared metric definitions and a data contract for each MCP tool, and capture lineage from source to agent output</w:t>
            </w:r>
          </w:p>
        </w:tc>
        <w:tc>
          <w:tcPr>
            <w:tcW w:type="dxa" w:w="1136"/>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Should</w:t>
            </w:r>
          </w:p>
        </w:tc>
        <w:tc>
          <w:tcPr>
            <w:tcW w:type="dxa" w:w="15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Agent quality</w:t>
            </w:r>
          </w:p>
        </w:tc>
        <w:tc>
          <w:tcPr>
            <w:tcW w:type="dxa" w:w="80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2</w:t>
            </w:r>
          </w:p>
        </w:tc>
        <w:tc>
          <w:tcPr>
            <w:tcW w:type="dxa" w:w="12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Data governance</w:t>
            </w:r>
          </w:p>
        </w:tc>
      </w:tr>
      <w:tr>
        <w:trPr>
          <w:cantSplit/>
          <w:tblHeader w:val="false"/>
        </w:trPr>
        <w:tc>
          <w:tcPr>
            <w:tcW w:type="dxa" w:w="700"/>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IR-01</w:t>
            </w:r>
          </w:p>
        </w:tc>
        <w:tc>
          <w:tcPr>
            <w:tcW w:type="dxa" w:w="13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Integration</w:t>
            </w:r>
          </w:p>
        </w:tc>
        <w:tc>
          <w:tcPr>
            <w:tcW w:type="dxa" w:w="2604"/>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Expose each system of record as governed APIs and MCP tools with explicit read or write scopes</w:t>
            </w:r>
          </w:p>
        </w:tc>
        <w:tc>
          <w:tcPr>
            <w:tcW w:type="dxa" w:w="1136"/>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Must</w:t>
            </w:r>
          </w:p>
        </w:tc>
        <w:tc>
          <w:tcPr>
            <w:tcW w:type="dxa" w:w="15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Governed AI traffic</w:t>
            </w:r>
          </w:p>
        </w:tc>
        <w:tc>
          <w:tcPr>
            <w:tcW w:type="dxa" w:w="80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1–3</w:t>
            </w:r>
          </w:p>
        </w:tc>
        <w:tc>
          <w:tcPr>
            <w:tcW w:type="dxa" w:w="12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Enterprise architect</w:t>
            </w:r>
          </w:p>
        </w:tc>
      </w:tr>
      <w:tr>
        <w:trPr>
          <w:cantSplit/>
          <w:tblHeader w:val="false"/>
        </w:trPr>
        <w:tc>
          <w:tcPr>
            <w:tcW w:type="dxa" w:w="700"/>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NFR-01</w:t>
            </w:r>
          </w:p>
        </w:tc>
        <w:tc>
          <w:tcPr>
            <w:tcW w:type="dxa" w:w="13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Non-functional</w:t>
            </w:r>
          </w:p>
        </w:tc>
        <w:tc>
          <w:tcPr>
            <w:tcW w:type="dxa" w:w="2604"/>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Fail over the primary model to a second provider, and make every SAP write idempotent</w:t>
            </w:r>
          </w:p>
        </w:tc>
        <w:tc>
          <w:tcPr>
            <w:tcW w:type="dxa" w:w="1136"/>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Must</w:t>
            </w:r>
          </w:p>
        </w:tc>
        <w:tc>
          <w:tcPr>
            <w:tcW w:type="dxa" w:w="15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First-time-right setup</w:t>
            </w:r>
          </w:p>
        </w:tc>
        <w:tc>
          <w:tcPr>
            <w:tcW w:type="dxa" w:w="80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2–3</w:t>
            </w:r>
          </w:p>
        </w:tc>
        <w:tc>
          <w:tcPr>
            <w:tcW w:type="dxa" w:w="12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Platform owner</w:t>
            </w:r>
          </w:p>
        </w:tc>
      </w:tr>
      <w:tr>
        <w:trPr>
          <w:cantSplit/>
          <w:tblHeader w:val="false"/>
        </w:trPr>
        <w:tc>
          <w:tcPr>
            <w:tcW w:type="dxa" w:w="700"/>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NFR-02</w:t>
            </w:r>
          </w:p>
        </w:tc>
        <w:tc>
          <w:tcPr>
            <w:tcW w:type="dxa" w:w="13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Non-functional</w:t>
            </w:r>
          </w:p>
        </w:tc>
        <w:tc>
          <w:tcPr>
            <w:tcW w:type="dxa" w:w="2604"/>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Set a token budget per launch, keep AI cost per launch within its target, and attribute every model and tool call to the engagement and its cost center within a day</w:t>
            </w:r>
          </w:p>
        </w:tc>
        <w:tc>
          <w:tcPr>
            <w:tcW w:type="dxa" w:w="1136"/>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Must</w:t>
            </w:r>
          </w:p>
        </w:tc>
        <w:tc>
          <w:tcPr>
            <w:tcW w:type="dxa" w:w="15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AI cost per launch</w:t>
            </w:r>
          </w:p>
        </w:tc>
        <w:tc>
          <w:tcPr>
            <w:tcW w:type="dxa" w:w="80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1–2</w:t>
            </w:r>
          </w:p>
        </w:tc>
        <w:tc>
          <w:tcPr>
            <w:tcW w:type="dxa" w:w="12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Finance</w:t>
            </w:r>
          </w:p>
        </w:tc>
      </w:tr>
      <w:tr>
        <w:trPr>
          <w:cantSplit/>
          <w:tblHeader w:val="false"/>
        </w:trPr>
        <w:tc>
          <w:tcPr>
            <w:tcW w:type="dxa" w:w="700"/>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SR-01</w:t>
            </w:r>
          </w:p>
        </w:tc>
        <w:tc>
          <w:tcPr>
            <w:tcW w:type="dxa" w:w="13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Security</w:t>
            </w:r>
          </w:p>
        </w:tc>
        <w:tc>
          <w:tcPr>
            <w:tcW w:type="dxa" w:w="2604"/>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Give every agent instance its own workload identity with short-lived credentials and no static API keys</w:t>
            </w:r>
          </w:p>
          <w:p>
            <w:pPr>
              <w:spacing w:after="80" w:before="0" w:line="252"/>
            </w:pPr>
            <w:r>
              <w:rPr>
                <w:rFonts w:ascii="Calibri" w:cs="Calibri" w:eastAsia="Calibri" w:hAnsi="Calibri"/>
                <w:sz w:val="18"/>
                <w:szCs w:val="18"/>
              </w:rPr>
              <w:t xml:space="preserve">Use on-behalf-of tokens with narrowed scopes</w:t>
            </w:r>
          </w:p>
          <w:p>
            <w:pPr>
              <w:spacing w:after="0" w:before="0" w:line="252"/>
            </w:pPr>
            <w:r>
              <w:rPr>
                <w:rFonts w:ascii="Calibri" w:cs="Calibri" w:eastAsia="Calibri" w:hAnsi="Calibri"/>
                <w:sz w:val="18"/>
                <w:szCs w:val="18"/>
              </w:rPr>
              <w:t xml:space="preserve">No agent approves its own output</w:t>
            </w:r>
          </w:p>
        </w:tc>
        <w:tc>
          <w:tcPr>
            <w:tcW w:type="dxa" w:w="1136"/>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Must</w:t>
            </w:r>
          </w:p>
        </w:tc>
        <w:tc>
          <w:tcPr>
            <w:tcW w:type="dxa" w:w="15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Oversight coverage</w:t>
            </w:r>
          </w:p>
        </w:tc>
        <w:tc>
          <w:tcPr>
            <w:tcW w:type="dxa" w:w="80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1</w:t>
            </w:r>
          </w:p>
        </w:tc>
        <w:tc>
          <w:tcPr>
            <w:tcW w:type="dxa" w:w="12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CISO</w:t>
            </w:r>
          </w:p>
        </w:tc>
      </w:tr>
      <w:tr>
        <w:trPr>
          <w:cantSplit/>
          <w:tblHeader w:val="false"/>
        </w:trPr>
        <w:tc>
          <w:tcPr>
            <w:tcW w:type="dxa" w:w="700"/>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SR-02</w:t>
            </w:r>
          </w:p>
        </w:tc>
        <w:tc>
          <w:tcPr>
            <w:tcW w:type="dxa" w:w="13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Security</w:t>
            </w:r>
          </w:p>
        </w:tc>
        <w:tc>
          <w:tcPr>
            <w:tcW w:type="dxa" w:w="2604"/>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Process client-confidential data only on private models in approved regions, and mask personal data before prompts</w:t>
            </w:r>
          </w:p>
        </w:tc>
        <w:tc>
          <w:tcPr>
            <w:tcW w:type="dxa" w:w="1136"/>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Must</w:t>
            </w:r>
          </w:p>
        </w:tc>
        <w:tc>
          <w:tcPr>
            <w:tcW w:type="dxa" w:w="15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Governed AI traffic</w:t>
            </w:r>
          </w:p>
        </w:tc>
        <w:tc>
          <w:tcPr>
            <w:tcW w:type="dxa" w:w="80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1</w:t>
            </w:r>
          </w:p>
        </w:tc>
        <w:tc>
          <w:tcPr>
            <w:tcW w:type="dxa" w:w="12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CISO</w:t>
            </w:r>
          </w:p>
        </w:tc>
      </w:tr>
      <w:tr>
        <w:trPr>
          <w:cantSplit/>
          <w:tblHeader w:val="false"/>
        </w:trPr>
        <w:tc>
          <w:tcPr>
            <w:tcW w:type="dxa" w:w="700"/>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SR-03</w:t>
            </w:r>
          </w:p>
        </w:tc>
        <w:tc>
          <w:tcPr>
            <w:tcW w:type="dxa" w:w="13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Security</w:t>
            </w:r>
          </w:p>
        </w:tc>
        <w:tc>
          <w:tcPr>
            <w:tcW w:type="dxa" w:w="2604"/>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Bind the partner’s approval to the exact setup request and expire it at the end of the business day</w:t>
            </w:r>
          </w:p>
        </w:tc>
        <w:tc>
          <w:tcPr>
            <w:tcW w:type="dxa" w:w="1136"/>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Must</w:t>
            </w:r>
          </w:p>
        </w:tc>
        <w:tc>
          <w:tcPr>
            <w:tcW w:type="dxa" w:w="15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Oversight effectiveness</w:t>
            </w:r>
          </w:p>
        </w:tc>
        <w:tc>
          <w:tcPr>
            <w:tcW w:type="dxa" w:w="80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3</w:t>
            </w:r>
          </w:p>
        </w:tc>
        <w:tc>
          <w:tcPr>
            <w:tcW w:type="dxa" w:w="1240"/>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CISO</w:t>
            </w:r>
          </w:p>
          <w:p>
            <w:pPr>
              <w:spacing w:after="0" w:before="0" w:line="252"/>
            </w:pPr>
            <w:r>
              <w:rPr>
                <w:rFonts w:ascii="Calibri" w:cs="Calibri" w:eastAsia="Calibri" w:hAnsi="Calibri"/>
                <w:sz w:val="18"/>
                <w:szCs w:val="18"/>
              </w:rPr>
              <w:t xml:space="preserve">Finance</w:t>
            </w:r>
          </w:p>
        </w:tc>
      </w:tr>
      <w:tr>
        <w:trPr>
          <w:cantSplit/>
          <w:tblHeader w:val="false"/>
        </w:trPr>
        <w:tc>
          <w:tcPr>
            <w:tcW w:type="dxa" w:w="700"/>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CR-01</w:t>
            </w:r>
          </w:p>
        </w:tc>
        <w:tc>
          <w:tcPr>
            <w:tcW w:type="dxa" w:w="13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Compliance</w:t>
            </w:r>
          </w:p>
        </w:tc>
        <w:tc>
          <w:tcPr>
            <w:tcW w:type="dxa" w:w="2604"/>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Keep the evidence behind every independence decision for inspections, with retention aligned to professional-standards documentation requirements</w:t>
            </w:r>
          </w:p>
        </w:tc>
        <w:tc>
          <w:tcPr>
            <w:tcW w:type="dxa" w:w="1136"/>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Must</w:t>
            </w:r>
          </w:p>
        </w:tc>
        <w:tc>
          <w:tcPr>
            <w:tcW w:type="dxa" w:w="15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Independence cleared before start</w:t>
            </w:r>
          </w:p>
        </w:tc>
        <w:tc>
          <w:tcPr>
            <w:tcW w:type="dxa" w:w="80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1</w:t>
            </w:r>
          </w:p>
        </w:tc>
        <w:tc>
          <w:tcPr>
            <w:tcW w:type="dxa" w:w="12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Risk &amp; Quality</w:t>
            </w:r>
          </w:p>
        </w:tc>
      </w:tr>
      <w:tr>
        <w:trPr>
          <w:cantSplit/>
          <w:tblHeader w:val="false"/>
        </w:trPr>
        <w:tc>
          <w:tcPr>
            <w:tcW w:type="dxa" w:w="700"/>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OR-01</w:t>
            </w:r>
          </w:p>
        </w:tc>
        <w:tc>
          <w:tcPr>
            <w:tcW w:type="dxa" w:w="13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Operational</w:t>
            </w:r>
          </w:p>
        </w:tc>
        <w:tc>
          <w:tcPr>
            <w:tcW w:type="dxa" w:w="2604"/>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Trace every hop with OpenTelemetry under one engagement correlation ID, and show cycle time, policy blocks, token cost and evaluation drift on one dashboard</w:t>
            </w:r>
          </w:p>
        </w:tc>
        <w:tc>
          <w:tcPr>
            <w:tcW w:type="dxa" w:w="1136"/>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Must</w:t>
            </w:r>
          </w:p>
        </w:tc>
        <w:tc>
          <w:tcPr>
            <w:tcW w:type="dxa" w:w="15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Governed AI traffic</w:t>
            </w:r>
          </w:p>
        </w:tc>
        <w:tc>
          <w:tcPr>
            <w:tcW w:type="dxa" w:w="80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1</w:t>
            </w:r>
          </w:p>
        </w:tc>
        <w:tc>
          <w:tcPr>
            <w:tcW w:type="dxa" w:w="12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Platform owner</w:t>
            </w:r>
          </w:p>
        </w:tc>
      </w:tr>
      <w:tr>
        <w:trPr>
          <w:cantSplit/>
          <w:tblHeader w:val="false"/>
        </w:trPr>
        <w:tc>
          <w:tcPr>
            <w:tcW w:type="dxa" w:w="700"/>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OR-02</w:t>
            </w:r>
          </w:p>
        </w:tc>
        <w:tc>
          <w:tcPr>
            <w:tcW w:type="dxa" w:w="13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Operational</w:t>
            </w:r>
          </w:p>
        </w:tc>
        <w:tc>
          <w:tcPr>
            <w:tcW w:type="dxa" w:w="2604"/>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Pass evaluation suites before promotion (letter-clause accuracy, independence-finding recall, entity-resolution precision), then score sampled production traces continuously</w:t>
            </w:r>
          </w:p>
        </w:tc>
        <w:tc>
          <w:tcPr>
            <w:tcW w:type="dxa" w:w="1136"/>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Must</w:t>
            </w:r>
          </w:p>
        </w:tc>
        <w:tc>
          <w:tcPr>
            <w:tcW w:type="dxa" w:w="15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Agent quality</w:t>
            </w:r>
          </w:p>
        </w:tc>
        <w:tc>
          <w:tcPr>
            <w:tcW w:type="dxa" w:w="80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2</w:t>
            </w:r>
          </w:p>
        </w:tc>
        <w:tc>
          <w:tcPr>
            <w:tcW w:type="dxa" w:w="12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AI governance council</w:t>
            </w:r>
          </w:p>
        </w:tc>
      </w:tr>
      <w:tr>
        <w:trPr>
          <w:cantSplit/>
          <w:tblHeader w:val="false"/>
        </w:trPr>
        <w:tc>
          <w:tcPr>
            <w:tcW w:type="dxa" w:w="700"/>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OR-03</w:t>
            </w:r>
          </w:p>
        </w:tc>
        <w:tc>
          <w:tcPr>
            <w:tcW w:type="dxa" w:w="13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Operational</w:t>
            </w:r>
          </w:p>
        </w:tc>
        <w:tc>
          <w:tcPr>
            <w:tcW w:type="dxa" w:w="2604"/>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Before the setup agent reaches tier 3, write and drill a takeover runbook: open launches move to the finance setup queue with their trace, pending approvals and data touched</w:t>
            </w:r>
          </w:p>
        </w:tc>
        <w:tc>
          <w:tcPr>
            <w:tcW w:type="dxa" w:w="1136"/>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Must</w:t>
            </w:r>
          </w:p>
        </w:tc>
        <w:tc>
          <w:tcPr>
            <w:tcW w:type="dxa" w:w="15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Time to contain</w:t>
            </w:r>
          </w:p>
        </w:tc>
        <w:tc>
          <w:tcPr>
            <w:tcW w:type="dxa" w:w="80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3</w:t>
            </w:r>
          </w:p>
        </w:tc>
        <w:tc>
          <w:tcPr>
            <w:tcW w:type="dxa" w:w="12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Finance</w:t>
            </w:r>
          </w:p>
        </w:tc>
      </w:tr>
    </w:tbl>
    <w:p>
      <w:pPr>
        <w:spacing w:after="120"/>
      </w:pPr>
    </w:p>
    <w:tbl>
      <w:tblPr>
        <w:tblW w:type="dxa" w:w="9360"/>
        <w:tblBorders>
          <w:top w:val="single" w:color="CBD5E1" w:sz="4"/>
          <w:left w:val="single" w:color="CBD5E1" w:sz="4"/>
          <w:bottom w:val="single" w:color="CBD5E1" w:sz="4"/>
          <w:right w:val="single" w:color="CBD5E1" w:sz="4"/>
          <w:insideH w:val="single" w:color="CBD5E1" w:sz="4"/>
          <w:insideV w:val="single" w:color="CBD5E1" w:sz="4"/>
        </w:tblBorders>
        <w:tblLayout w:type="fixed"/>
      </w:tblPr>
      <w:tblGrid>
        <w:gridCol w:w="9360"/>
      </w:tblGrid>
      <w:tr>
        <w:trPr>
          <w:cantSplit/>
        </w:trPr>
        <w:tc>
          <w:tcPr>
            <w:tcW w:type="dxa" w:w="9360"/>
            <w:shd w:fill="F1F5F9" w:color="auto" w:val="clear"/>
            <w:tcMar>
              <w:top w:type="dxa" w:w="140"/>
              <w:left w:type="dxa" w:w="200"/>
              <w:bottom w:type="dxa" w:w="140"/>
              <w:right w:type="dxa" w:w="200"/>
            </w:tcMar>
          </w:tcPr>
          <w:p>
            <w:pPr>
              <w:spacing w:after="100"/>
            </w:pPr>
            <w:r>
              <w:rPr>
                <w:rFonts w:ascii="Calibri" w:cs="Calibri" w:eastAsia="Calibri" w:hAnsi="Calibri"/>
                <w:b/>
                <w:bCs/>
                <w:color w:val="1E293B"/>
                <w:sz w:val="22"/>
                <w:szCs w:val="22"/>
              </w:rPr>
              <w:t xml:space="preserve">Why it is filled this way</w:t>
            </w:r>
          </w:p>
          <w:p>
            <w:pPr>
              <w:spacing w:after="80"/>
            </w:pPr>
            <w:r>
              <w:rPr>
                <w:rFonts w:ascii="Calibri" w:cs="Calibri" w:eastAsia="Calibri" w:hAnsi="Calibri"/>
                <w:sz w:val="20"/>
                <w:szCs w:val="20"/>
              </w:rPr>
              <w:t xml:space="preserve">Every requirement names the KPI it moves and the phase in which it must be met, so phase 1 stays small: the gated SAP write (FR-07) and the bound approval (SR-03) are phase 3.</w:t>
            </w:r>
          </w:p>
          <w:p>
            <w:pPr>
              <w:spacing w:after="80"/>
            </w:pPr>
            <w:r>
              <w:rPr>
                <w:rFonts w:ascii="Calibri" w:cs="Calibri" w:eastAsia="Calibri" w:hAnsi="Calibri"/>
                <w:sz w:val="20"/>
                <w:szCs w:val="20"/>
              </w:rPr>
              <w:t xml:space="preserve">The data requirements (DR-01, DR-02) are Must and phase 1 because entity resolution and independence depend on them from the first slice.</w:t>
            </w:r>
          </w:p>
          <w:p>
            <w:pPr>
              <w:spacing w:after="80"/>
            </w:pPr>
            <w:r>
              <w:rPr>
                <w:rFonts w:ascii="Calibri" w:cs="Calibri" w:eastAsia="Calibri" w:hAnsi="Calibri"/>
                <w:sz w:val="20"/>
                <w:szCs w:val="20"/>
              </w:rPr>
              <w:t xml:space="preserve">The operational requirements treat evaluation as a lifecycle (OR-02) and make the takeover runbook a condition of tier 3 (OR-03). NFR-02 makes every model and tool call attributable to the engagement that caused it.</w:t>
            </w:r>
          </w:p>
          <w:p>
            <w:pPr>
              <w:spacing w:after="80"/>
            </w:pPr>
            <w:r>
              <w:rPr>
                <w:rFonts w:ascii="Calibri" w:cs="Calibri" w:eastAsia="Calibri" w:hAnsi="Calibri"/>
                <w:sz w:val="20"/>
                <w:szCs w:val="20"/>
              </w:rPr>
              <w:t xml:space="preserve">The register stops at 23 rows. It covers what shapes the architecture and the plan and leaves detailed user stories to delivery.</w:t>
            </w:r>
          </w:p>
        </w:tc>
      </w:tr>
    </w:tbl>
    <w:p>
      <w:pPr>
        <w:spacing w:after="120"/>
      </w:pPr>
    </w:p>
    <w:p>
      <w:pPr>
        <w:pStyle w:val="Heading2"/>
        <w:keepNext/>
        <w:pageBreakBefore/>
      </w:pPr>
      <w:bookmarkStart w:name="p2_T5" w:id="21"/>
      <w:r>
        <w:rPr>
          <w:rFonts w:ascii="Calibri" w:cs="Calibri" w:eastAsia="Calibri" w:hAnsi="Calibri"/>
        </w:rPr>
        <w:t xml:space="preserve">T5 filled: security and compliance requirements</w:t>
      </w:r>
      <w:bookmarkEnd w:id="21"/>
    </w:p>
    <w:p>
      <w:pPr>
        <w:spacing w:after="140"/>
      </w:pPr>
      <w:r>
        <w:rPr>
          <w:rFonts w:ascii="Calibri" w:cs="Calibri" w:eastAsia="Calibri" w:hAnsi="Calibri"/>
        </w:rPr>
        <w:t xml:space="preserve">Security follows zero-trust principles:</w:t>
      </w:r>
      <w:hyperlink w:history="1" w:anchor="en_90">
        <w:r>
          <w:rPr>
            <w:rFonts w:ascii="Calibri" w:cs="Calibri" w:eastAsia="Calibri" w:hAnsi="Calibri"/>
            <w:color w:val="0369A1"/>
            <w:vertAlign w:val="superscript"/>
          </w:rPr>
          <w:t xml:space="preserve">90</w:t>
        </w:r>
      </w:hyperlink>
      <w:r>
        <w:rPr>
          <w:rFonts w:ascii="Calibri" w:cs="Calibri" w:eastAsia="Calibri" w:hAnsi="Calibri"/>
        </w:rPr>
        <w:t xml:space="preserve"> every actor is authenticated, every call is authorized for the specific task, and nothing is trusted because of where it sits on the network.</w:t>
      </w:r>
    </w:p>
    <w:tbl>
      <w:tblPr>
        <w:tblW w:type="dxa" w:w="9360"/>
        <w:tblBorders>
          <w:top w:val="single" w:color="CBD5E1" w:sz="4"/>
          <w:left w:val="single" w:color="CBD5E1" w:sz="4"/>
          <w:bottom w:val="single" w:color="CBD5E1" w:sz="4"/>
          <w:right w:val="single" w:color="CBD5E1" w:sz="4"/>
          <w:insideH w:val="single" w:color="CBD5E1" w:sz="4"/>
          <w:insideV w:val="single" w:color="CBD5E1" w:sz="4"/>
        </w:tblBorders>
        <w:tblLayout w:type="fixed"/>
      </w:tblPr>
      <w:tblGrid>
        <w:gridCol w:w="911"/>
        <w:gridCol w:w="5507"/>
        <w:gridCol w:w="2140"/>
        <w:gridCol w:w="802"/>
      </w:tblGrid>
      <w:tr>
        <w:trPr>
          <w:cantSplit/>
          <w:tblHeader/>
        </w:trPr>
        <w:tc>
          <w:tcPr>
            <w:tcW w:type="dxa" w:w="911"/>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Layer</w:t>
            </w:r>
          </w:p>
        </w:tc>
        <w:tc>
          <w:tcPr>
            <w:tcW w:type="dxa" w:w="5507"/>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Requirement (controls)</w:t>
            </w:r>
          </w:p>
        </w:tc>
        <w:tc>
          <w:tcPr>
            <w:tcW w:type="dxa" w:w="2140"/>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Enforced by</w:t>
            </w:r>
          </w:p>
        </w:tc>
        <w:tc>
          <w:tcPr>
            <w:tcW w:type="dxa" w:w="802"/>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Phase</w:t>
            </w:r>
          </w:p>
        </w:tc>
      </w:tr>
      <w:tr>
        <w:trPr>
          <w:cantSplit/>
          <w:tblHeader w:val="false"/>
        </w:trPr>
        <w:tc>
          <w:tcPr>
            <w:tcW w:type="dxa" w:w="911"/>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Users</w:t>
            </w:r>
          </w:p>
        </w:tc>
        <w:tc>
          <w:tcPr>
            <w:tcW w:type="dxa" w:w="5507"/>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Single sign-on with phishing-resistant MFA</w:t>
            </w:r>
          </w:p>
          <w:p>
            <w:pPr>
              <w:spacing w:after="80" w:before="0" w:line="252"/>
            </w:pPr>
            <w:r>
              <w:rPr>
                <w:rFonts w:ascii="Calibri" w:cs="Calibri" w:eastAsia="Calibri" w:hAnsi="Calibri"/>
                <w:sz w:val="18"/>
                <w:szCs w:val="18"/>
              </w:rPr>
              <w:t xml:space="preserve">Step-up authentication for partner approval</w:t>
            </w:r>
          </w:p>
          <w:p>
            <w:pPr>
              <w:spacing w:after="0" w:before="0" w:line="252"/>
            </w:pPr>
            <w:r>
              <w:rPr>
                <w:rFonts w:ascii="Calibri" w:cs="Calibri" w:eastAsia="Calibri" w:hAnsi="Calibri"/>
                <w:sz w:val="18"/>
                <w:szCs w:val="18"/>
              </w:rPr>
              <w:t xml:space="preserve">Role- and attribute-based access</w:t>
            </w:r>
          </w:p>
        </w:tc>
        <w:tc>
          <w:tcPr>
            <w:tcW w:type="dxa" w:w="2140"/>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Firm identity provider</w:t>
            </w:r>
          </w:p>
          <w:p>
            <w:pPr>
              <w:spacing w:after="0" w:before="0" w:line="252"/>
            </w:pPr>
            <w:r>
              <w:rPr>
                <w:rFonts w:ascii="Calibri" w:cs="Calibri" w:eastAsia="Calibri" w:hAnsi="Calibri"/>
                <w:sz w:val="18"/>
                <w:szCs w:val="18"/>
              </w:rPr>
              <w:t xml:space="preserve">Trusted Agent Identity mobile approval</w:t>
            </w:r>
          </w:p>
        </w:tc>
        <w:tc>
          <w:tcPr>
            <w:tcW w:type="dxa" w:w="802"/>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1</w:t>
            </w:r>
          </w:p>
        </w:tc>
      </w:tr>
      <w:tr>
        <w:trPr>
          <w:cantSplit/>
          <w:tblHeader w:val="false"/>
        </w:trPr>
        <w:tc>
          <w:tcPr>
            <w:tcW w:type="dxa" w:w="911"/>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Agents</w:t>
            </w:r>
          </w:p>
        </w:tc>
        <w:tc>
          <w:tcPr>
            <w:tcW w:type="dxa" w:w="5507"/>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A unique workload identity per agent instance</w:t>
            </w:r>
            <w:hyperlink w:history="1" w:anchor="en_91">
              <w:r>
                <w:rPr>
                  <w:rFonts w:ascii="Calibri" w:cs="Calibri" w:eastAsia="Calibri" w:hAnsi="Calibri"/>
                  <w:color w:val="0369A1"/>
                  <w:sz w:val="18"/>
                  <w:szCs w:val="18"/>
                  <w:vertAlign w:val="superscript"/>
                </w:rPr>
                <w:t xml:space="preserve">91</w:t>
              </w:r>
            </w:hyperlink>
          </w:p>
          <w:p>
            <w:pPr>
              <w:spacing w:after="80" w:before="0" w:line="252"/>
            </w:pPr>
            <w:r>
              <w:rPr>
                <w:rFonts w:ascii="Calibri" w:cs="Calibri" w:eastAsia="Calibri" w:hAnsi="Calibri"/>
                <w:sz w:val="18"/>
                <w:szCs w:val="18"/>
              </w:rPr>
              <w:t xml:space="preserve">Short-lived credentials and no static API keys</w:t>
            </w:r>
            <w:hyperlink w:history="1" w:anchor="en_46">
              <w:r>
                <w:rPr>
                  <w:rFonts w:ascii="Calibri" w:cs="Calibri" w:eastAsia="Calibri" w:hAnsi="Calibri"/>
                  <w:color w:val="0369A1"/>
                  <w:sz w:val="18"/>
                  <w:szCs w:val="18"/>
                  <w:vertAlign w:val="superscript"/>
                </w:rPr>
                <w:t xml:space="preserve">46</w:t>
              </w:r>
            </w:hyperlink>
          </w:p>
          <w:p>
            <w:pPr>
              <w:spacing w:after="80" w:before="0" w:line="252"/>
            </w:pPr>
            <w:r>
              <w:rPr>
                <w:rFonts w:ascii="Calibri" w:cs="Calibri" w:eastAsia="Calibri" w:hAnsi="Calibri"/>
                <w:sz w:val="18"/>
                <w:szCs w:val="18"/>
              </w:rPr>
              <w:t xml:space="preserve">Least-privilege scopes</w:t>
            </w:r>
          </w:p>
          <w:p>
            <w:pPr>
              <w:spacing w:after="80" w:before="0" w:line="252"/>
            </w:pPr>
            <w:r>
              <w:rPr>
                <w:rFonts w:ascii="Calibri" w:cs="Calibri" w:eastAsia="Calibri" w:hAnsi="Calibri"/>
                <w:sz w:val="18"/>
                <w:szCs w:val="18"/>
              </w:rPr>
              <w:t xml:space="preserve">Autonomy tiers</w:t>
            </w:r>
          </w:p>
          <w:p>
            <w:pPr>
              <w:spacing w:after="80" w:before="0" w:line="252"/>
            </w:pPr>
            <w:r>
              <w:rPr>
                <w:rFonts w:ascii="Calibri" w:cs="Calibri" w:eastAsia="Calibri" w:hAnsi="Calibri"/>
                <w:sz w:val="18"/>
                <w:szCs w:val="18"/>
              </w:rPr>
              <w:t xml:space="preserve">Kill switch</w:t>
            </w:r>
          </w:p>
          <w:p>
            <w:pPr>
              <w:spacing w:after="0" w:before="0" w:line="252"/>
            </w:pPr>
            <w:r>
              <w:rPr>
                <w:rFonts w:ascii="Calibri" w:cs="Calibri" w:eastAsia="Calibri" w:hAnsi="Calibri"/>
                <w:sz w:val="18"/>
                <w:szCs w:val="18"/>
              </w:rPr>
              <w:t xml:space="preserve">No agent approves its own output</w:t>
            </w:r>
          </w:p>
        </w:tc>
        <w:tc>
          <w:tcPr>
            <w:tcW w:type="dxa" w:w="2140"/>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Agent Registry (owner and tier)</w:t>
            </w:r>
          </w:p>
          <w:p>
            <w:pPr>
              <w:spacing w:after="80" w:before="0" w:line="252"/>
            </w:pPr>
            <w:r>
              <w:rPr>
                <w:rFonts w:ascii="Calibri" w:cs="Calibri" w:eastAsia="Calibri" w:hAnsi="Calibri"/>
                <w:sz w:val="18"/>
                <w:szCs w:val="18"/>
              </w:rPr>
              <w:t xml:space="preserve">Trusted Agent Identity</w:t>
            </w:r>
          </w:p>
          <w:p>
            <w:pPr>
              <w:spacing w:after="0" w:before="0" w:line="252"/>
            </w:pPr>
            <w:r>
              <w:rPr>
                <w:rFonts w:ascii="Calibri" w:cs="Calibri" w:eastAsia="Calibri" w:hAnsi="Calibri"/>
                <w:sz w:val="18"/>
                <w:szCs w:val="18"/>
              </w:rPr>
              <w:t xml:space="preserve">Agent Kill Switch</w:t>
            </w:r>
          </w:p>
        </w:tc>
        <w:tc>
          <w:tcPr>
            <w:tcW w:type="dxa" w:w="802"/>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1</w:t>
            </w:r>
          </w:p>
        </w:tc>
      </w:tr>
      <w:tr>
        <w:trPr>
          <w:cantSplit/>
          <w:tblHeader w:val="false"/>
        </w:trPr>
        <w:tc>
          <w:tcPr>
            <w:tcW w:type="dxa" w:w="911"/>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A2A</w:t>
            </w:r>
          </w:p>
        </w:tc>
        <w:tc>
          <w:tcPr>
            <w:tcW w:type="dxa" w:w="5507"/>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Registered, signed agent cards, verified by the registry (A2A version 1.0)</w:t>
            </w:r>
          </w:p>
          <w:p>
            <w:pPr>
              <w:spacing w:after="80" w:before="0" w:line="252"/>
            </w:pPr>
            <w:r>
              <w:rPr>
                <w:rFonts w:ascii="Calibri" w:cs="Calibri" w:eastAsia="Calibri" w:hAnsi="Calibri"/>
                <w:sz w:val="18"/>
                <w:szCs w:val="18"/>
              </w:rPr>
              <w:t xml:space="preserve">Mutual TLS plus OAuth tokens on every call</w:t>
            </w:r>
            <w:hyperlink w:history="1" w:anchor="en_27">
              <w:r>
                <w:rPr>
                  <w:rFonts w:ascii="Calibri" w:cs="Calibri" w:eastAsia="Calibri" w:hAnsi="Calibri"/>
                  <w:color w:val="0369A1"/>
                  <w:sz w:val="18"/>
                  <w:szCs w:val="18"/>
                  <w:vertAlign w:val="superscript"/>
                </w:rPr>
                <w:t xml:space="preserve">27</w:t>
              </w:r>
            </w:hyperlink>
          </w:p>
          <w:p>
            <w:pPr>
              <w:spacing w:after="80" w:before="0" w:line="252"/>
            </w:pPr>
            <w:r>
              <w:rPr>
                <w:rFonts w:ascii="Calibri" w:cs="Calibri" w:eastAsia="Calibri" w:hAnsi="Calibri"/>
                <w:sz w:val="18"/>
                <w:szCs w:val="18"/>
              </w:rPr>
              <w:t xml:space="preserve">Delegation carried through on-behalf-of token exchange with narrowed scopes</w:t>
            </w:r>
            <w:hyperlink w:history="1" w:anchor="en_92">
              <w:r>
                <w:rPr>
                  <w:rFonts w:ascii="Calibri" w:cs="Calibri" w:eastAsia="Calibri" w:hAnsi="Calibri"/>
                  <w:color w:val="0369A1"/>
                  <w:sz w:val="18"/>
                  <w:szCs w:val="18"/>
                  <w:vertAlign w:val="superscript"/>
                </w:rPr>
                <w:t xml:space="preserve">92</w:t>
              </w:r>
            </w:hyperlink>
          </w:p>
          <w:p>
            <w:pPr>
              <w:spacing w:after="0" w:before="0" w:line="252"/>
            </w:pPr>
            <w:r>
              <w:rPr>
                <w:rFonts w:ascii="Calibri" w:cs="Calibri" w:eastAsia="Calibri" w:hAnsi="Calibri"/>
                <w:sz w:val="18"/>
                <w:szCs w:val="18"/>
              </w:rPr>
              <w:t xml:space="preserve">Only registered agents may call each other</w:t>
            </w:r>
          </w:p>
        </w:tc>
        <w:tc>
          <w:tcPr>
            <w:tcW w:type="dxa" w:w="2140"/>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Agent Registry</w:t>
            </w:r>
          </w:p>
          <w:p>
            <w:pPr>
              <w:spacing w:after="80" w:before="0" w:line="252"/>
            </w:pPr>
            <w:r>
              <w:rPr>
                <w:rFonts w:ascii="Calibri" w:cs="Calibri" w:eastAsia="Calibri" w:hAnsi="Calibri"/>
                <w:sz w:val="18"/>
                <w:szCs w:val="18"/>
              </w:rPr>
              <w:t xml:space="preserve">Agent Broker A2A support</w:t>
            </w:r>
          </w:p>
          <w:p>
            <w:pPr>
              <w:spacing w:after="0" w:before="0" w:line="252"/>
            </w:pPr>
            <w:r>
              <w:rPr>
                <w:rFonts w:ascii="Calibri" w:cs="Calibri" w:eastAsia="Calibri" w:hAnsi="Calibri"/>
                <w:sz w:val="18"/>
                <w:szCs w:val="18"/>
              </w:rPr>
              <w:t xml:space="preserve">Omni Gateway policies</w:t>
            </w:r>
          </w:p>
        </w:tc>
        <w:tc>
          <w:tcPr>
            <w:tcW w:type="dxa" w:w="802"/>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1–2</w:t>
            </w:r>
          </w:p>
        </w:tc>
      </w:tr>
      <w:tr>
        <w:trPr>
          <w:cantSplit/>
          <w:tblHeader w:val="false"/>
        </w:trPr>
        <w:tc>
          <w:tcPr>
            <w:tcW w:type="dxa" w:w="911"/>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MCP</w:t>
            </w:r>
          </w:p>
        </w:tc>
        <w:tc>
          <w:tcPr>
            <w:tcW w:type="dxa" w:w="5507"/>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MCP servers behind the gateway as OAuth-protected resources, audience-bound tokens with no pass-through, per-tool scopes, input and output schema validation, and policy on MCP’s standard request headers, with every call joined to its trace</w:t>
            </w:r>
            <w:hyperlink w:history="1" w:anchor="en_26">
              <w:r>
                <w:rPr>
                  <w:rFonts w:ascii="Calibri" w:cs="Calibri" w:eastAsia="Calibri" w:hAnsi="Calibri"/>
                  <w:color w:val="0369A1"/>
                  <w:sz w:val="18"/>
                  <w:szCs w:val="18"/>
                  <w:vertAlign w:val="superscript"/>
                </w:rPr>
                <w:t xml:space="preserve">26</w:t>
              </w:r>
            </w:hyperlink>
          </w:p>
          <w:p>
            <w:pPr>
              <w:spacing w:after="0" w:before="0" w:line="252"/>
            </w:pPr>
            <w:r>
              <w:rPr>
                <w:rFonts w:ascii="Calibri" w:cs="Calibri" w:eastAsia="Calibri" w:hAnsi="Calibri"/>
                <w:sz w:val="18"/>
                <w:szCs w:val="18"/>
              </w:rPr>
              <w:t xml:space="preserve">As firm practice: allow-lists per agent, only registered and version-pinned servers, and separate read and write tools</w:t>
            </w:r>
          </w:p>
        </w:tc>
        <w:tc>
          <w:tcPr>
            <w:tcW w:type="dxa" w:w="2140"/>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AI Gateway MCP policies</w:t>
            </w:r>
          </w:p>
          <w:p>
            <w:pPr>
              <w:spacing w:after="0" w:before="0" w:line="252"/>
            </w:pPr>
            <w:r>
              <w:rPr>
                <w:rFonts w:ascii="Calibri" w:cs="Calibri" w:eastAsia="Calibri" w:hAnsi="Calibri"/>
                <w:sz w:val="18"/>
                <w:szCs w:val="18"/>
              </w:rPr>
              <w:t xml:space="preserve">MCP Bridge</w:t>
            </w:r>
          </w:p>
        </w:tc>
        <w:tc>
          <w:tcPr>
            <w:tcW w:type="dxa" w:w="802"/>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1</w:t>
            </w:r>
          </w:p>
        </w:tc>
      </w:tr>
      <w:tr>
        <w:trPr>
          <w:cantSplit/>
          <w:tblHeader w:val="false"/>
        </w:trPr>
        <w:tc>
          <w:tcPr>
            <w:tcW w:type="dxa" w:w="911"/>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APIs</w:t>
            </w:r>
          </w:p>
        </w:tc>
        <w:tc>
          <w:tcPr>
            <w:tcW w:type="dxa" w:w="5507"/>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OAuth 2.0 client credentials or signed JWTs</w:t>
            </w:r>
          </w:p>
          <w:p>
            <w:pPr>
              <w:spacing w:after="80" w:before="0" w:line="252"/>
            </w:pPr>
            <w:r>
              <w:rPr>
                <w:rFonts w:ascii="Calibri" w:cs="Calibri" w:eastAsia="Calibri" w:hAnsi="Calibri"/>
                <w:sz w:val="18"/>
                <w:szCs w:val="18"/>
              </w:rPr>
              <w:t xml:space="preserve">mTLS to backends</w:t>
            </w:r>
          </w:p>
          <w:p>
            <w:pPr>
              <w:spacing w:after="80" w:before="0" w:line="252"/>
            </w:pPr>
            <w:r>
              <w:rPr>
                <w:rFonts w:ascii="Calibri" w:cs="Calibri" w:eastAsia="Calibri" w:hAnsi="Calibri"/>
                <w:sz w:val="18"/>
                <w:szCs w:val="18"/>
              </w:rPr>
              <w:t xml:space="preserve">Rate limits, payload and injection threat protection</w:t>
            </w:r>
          </w:p>
          <w:p>
            <w:pPr>
              <w:spacing w:after="0" w:before="0" w:line="252"/>
            </w:pPr>
            <w:r>
              <w:rPr>
                <w:rFonts w:ascii="Calibri" w:cs="Calibri" w:eastAsia="Calibri" w:hAnsi="Calibri"/>
                <w:sz w:val="18"/>
                <w:szCs w:val="18"/>
              </w:rPr>
              <w:t xml:space="preserve">Private connectivity to SAP, Workday and Snowflake</w:t>
            </w:r>
          </w:p>
        </w:tc>
        <w:tc>
          <w:tcPr>
            <w:tcW w:type="dxa" w:w="21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Omni Gateway policies</w:t>
            </w:r>
            <w:hyperlink w:history="1" w:anchor="en_78">
              <w:r>
                <w:rPr>
                  <w:rFonts w:ascii="Calibri" w:cs="Calibri" w:eastAsia="Calibri" w:hAnsi="Calibri"/>
                  <w:color w:val="0369A1"/>
                  <w:sz w:val="18"/>
                  <w:szCs w:val="18"/>
                  <w:vertAlign w:val="superscript"/>
                </w:rPr>
                <w:t xml:space="preserve">78</w:t>
              </w:r>
            </w:hyperlink>
          </w:p>
        </w:tc>
        <w:tc>
          <w:tcPr>
            <w:tcW w:type="dxa" w:w="802"/>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1</w:t>
            </w:r>
          </w:p>
        </w:tc>
      </w:tr>
      <w:tr>
        <w:trPr>
          <w:cantSplit/>
          <w:tblHeader w:val="false"/>
        </w:trPr>
        <w:tc>
          <w:tcPr>
            <w:tcW w:type="dxa" w:w="911"/>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Models</w:t>
            </w:r>
          </w:p>
        </w:tc>
        <w:tc>
          <w:tcPr>
            <w:tcW w:type="dxa" w:w="5507"/>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Access only through the gateway, enterprise terms with zero data retention and no training on firm data, prompt-injection and jailbreak screening, personal data masked before prompts, and output validation</w:t>
            </w:r>
            <w:hyperlink w:history="1" w:anchor="en_93">
              <w:r>
                <w:rPr>
                  <w:rFonts w:ascii="Calibri" w:cs="Calibri" w:eastAsia="Calibri" w:hAnsi="Calibri"/>
                  <w:color w:val="0369A1"/>
                  <w:sz w:val="18"/>
                  <w:szCs w:val="18"/>
                  <w:vertAlign w:val="superscript"/>
                </w:rPr>
                <w:t xml:space="preserve">93</w:t>
              </w:r>
            </w:hyperlink>
          </w:p>
        </w:tc>
        <w:tc>
          <w:tcPr>
            <w:tcW w:type="dxa" w:w="21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AI Gateway routing, masking and token-based rate limits</w:t>
            </w:r>
          </w:p>
        </w:tc>
        <w:tc>
          <w:tcPr>
            <w:tcW w:type="dxa" w:w="802"/>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1</w:t>
            </w:r>
          </w:p>
        </w:tc>
      </w:tr>
      <w:tr>
        <w:trPr>
          <w:cantSplit/>
          <w:tblHeader w:val="false"/>
        </w:trPr>
        <w:tc>
          <w:tcPr>
            <w:tcW w:type="dxa" w:w="911"/>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Data at rest</w:t>
            </w:r>
          </w:p>
        </w:tc>
        <w:tc>
          <w:tcPr>
            <w:tcW w:type="dxa" w:w="5507"/>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AES-256 with customer-managed keys in a KMS or HSM</w:t>
            </w:r>
          </w:p>
          <w:p>
            <w:pPr>
              <w:spacing w:after="80" w:before="0" w:line="252"/>
            </w:pPr>
            <w:r>
              <w:rPr>
                <w:rFonts w:ascii="Calibri" w:cs="Calibri" w:eastAsia="Calibri" w:hAnsi="Calibri"/>
                <w:sz w:val="18"/>
                <w:szCs w:val="18"/>
              </w:rPr>
              <w:t xml:space="preserve">Field-level encryption or tokenization for personal financial interests</w:t>
            </w:r>
          </w:p>
          <w:p>
            <w:pPr>
              <w:spacing w:after="80" w:before="0" w:line="252"/>
            </w:pPr>
            <w:r>
              <w:rPr>
                <w:rFonts w:ascii="Calibri" w:cs="Calibri" w:eastAsia="Calibri" w:hAnsi="Calibri"/>
                <w:sz w:val="18"/>
                <w:szCs w:val="18"/>
              </w:rPr>
              <w:t xml:space="preserve">Snowflake row-access and masking policies</w:t>
            </w:r>
          </w:p>
          <w:p>
            <w:pPr>
              <w:spacing w:after="0" w:before="0" w:line="252"/>
            </w:pPr>
            <w:r>
              <w:rPr>
                <w:rFonts w:ascii="Calibri" w:cs="Calibri" w:eastAsia="Calibri" w:hAnsi="Calibri"/>
                <w:sz w:val="18"/>
                <w:szCs w:val="18"/>
              </w:rPr>
              <w:t xml:space="preserve">Vector indexes partitioned by client and engagement</w:t>
            </w:r>
          </w:p>
        </w:tc>
        <w:tc>
          <w:tcPr>
            <w:tcW w:type="dxa" w:w="2140"/>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Firm KMS or HSM</w:t>
            </w:r>
          </w:p>
          <w:p>
            <w:pPr>
              <w:spacing w:after="80" w:before="0" w:line="252"/>
            </w:pPr>
            <w:r>
              <w:rPr>
                <w:rFonts w:ascii="Calibri" w:cs="Calibri" w:eastAsia="Calibri" w:hAnsi="Calibri"/>
                <w:sz w:val="18"/>
                <w:szCs w:val="18"/>
              </w:rPr>
              <w:t xml:space="preserve">Snowflake policies</w:t>
            </w:r>
          </w:p>
          <w:p>
            <w:pPr>
              <w:spacing w:after="0" w:before="0" w:line="252"/>
            </w:pPr>
            <w:r>
              <w:rPr>
                <w:rFonts w:ascii="Calibri" w:cs="Calibri" w:eastAsia="Calibri" w:hAnsi="Calibri"/>
                <w:sz w:val="18"/>
                <w:szCs w:val="18"/>
              </w:rPr>
              <w:t xml:space="preserve">Informatica classification</w:t>
            </w:r>
          </w:p>
        </w:tc>
        <w:tc>
          <w:tcPr>
            <w:tcW w:type="dxa" w:w="802"/>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1</w:t>
            </w:r>
          </w:p>
        </w:tc>
      </w:tr>
      <w:tr>
        <w:trPr>
          <w:cantSplit/>
          <w:tblHeader w:val="false"/>
        </w:trPr>
        <w:tc>
          <w:tcPr>
            <w:tcW w:type="dxa" w:w="911"/>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Data in motion</w:t>
            </w:r>
          </w:p>
        </w:tc>
        <w:tc>
          <w:tcPr>
            <w:tcW w:type="dxa" w:w="5507"/>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TLS 1.3 everywhere</w:t>
            </w:r>
          </w:p>
          <w:p>
            <w:pPr>
              <w:spacing w:after="80" w:before="0" w:line="252"/>
            </w:pPr>
            <w:r>
              <w:rPr>
                <w:rFonts w:ascii="Calibri" w:cs="Calibri" w:eastAsia="Calibri" w:hAnsi="Calibri"/>
                <w:sz w:val="18"/>
                <w:szCs w:val="18"/>
              </w:rPr>
              <w:t xml:space="preserve">mTLS between services</w:t>
            </w:r>
          </w:p>
          <w:p>
            <w:pPr>
              <w:spacing w:after="80" w:before="0" w:line="252"/>
            </w:pPr>
            <w:r>
              <w:rPr>
                <w:rFonts w:ascii="Calibri" w:cs="Calibri" w:eastAsia="Calibri" w:hAnsi="Calibri"/>
                <w:sz w:val="18"/>
                <w:szCs w:val="18"/>
              </w:rPr>
              <w:t xml:space="preserve">Private links to SaaS</w:t>
            </w:r>
          </w:p>
          <w:p>
            <w:pPr>
              <w:spacing w:after="0" w:before="0" w:line="252"/>
            </w:pPr>
            <w:r>
              <w:rPr>
                <w:rFonts w:ascii="Calibri" w:cs="Calibri" w:eastAsia="Calibri" w:hAnsi="Calibri"/>
                <w:sz w:val="18"/>
                <w:szCs w:val="18"/>
              </w:rPr>
              <w:t xml:space="preserve">Hybrid post-quantum key exchange at gateways as vendors support it</w:t>
            </w:r>
          </w:p>
        </w:tc>
        <w:tc>
          <w:tcPr>
            <w:tcW w:type="dxa" w:w="2140"/>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Gateways</w:t>
            </w:r>
          </w:p>
          <w:p>
            <w:pPr>
              <w:spacing w:after="0" w:before="0" w:line="252"/>
            </w:pPr>
            <w:r>
              <w:rPr>
                <w:rFonts w:ascii="Calibri" w:cs="Calibri" w:eastAsia="Calibri" w:hAnsi="Calibri"/>
                <w:sz w:val="18"/>
                <w:szCs w:val="18"/>
              </w:rPr>
              <w:t xml:space="preserve">Private links</w:t>
            </w:r>
          </w:p>
        </w:tc>
        <w:tc>
          <w:tcPr>
            <w:tcW w:type="dxa" w:w="802"/>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1</w:t>
            </w:r>
          </w:p>
        </w:tc>
      </w:tr>
      <w:tr>
        <w:trPr>
          <w:cantSplit/>
          <w:tblHeader w:val="false"/>
        </w:trPr>
        <w:tc>
          <w:tcPr>
            <w:tcW w:type="dxa" w:w="911"/>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Audit</w:t>
            </w:r>
          </w:p>
        </w:tc>
        <w:tc>
          <w:tcPr>
            <w:tcW w:type="dxa" w:w="5507"/>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Tamper-evident logs linking user, agent, tool call and record</w:t>
            </w:r>
          </w:p>
          <w:p>
            <w:pPr>
              <w:spacing w:after="0" w:before="0" w:line="252"/>
            </w:pPr>
            <w:r>
              <w:rPr>
                <w:rFonts w:ascii="Calibri" w:cs="Calibri" w:eastAsia="Calibri" w:hAnsi="Calibri"/>
                <w:sz w:val="18"/>
                <w:szCs w:val="18"/>
              </w:rPr>
              <w:t xml:space="preserve">Retention aligned to professional-standards documentation requirements</w:t>
            </w:r>
          </w:p>
        </w:tc>
        <w:tc>
          <w:tcPr>
            <w:tcW w:type="dxa" w:w="2140"/>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Agent Visualizer</w:t>
            </w:r>
          </w:p>
          <w:p>
            <w:pPr>
              <w:spacing w:after="0" w:before="0" w:line="252"/>
            </w:pPr>
            <w:r>
              <w:rPr>
                <w:rFonts w:ascii="Calibri" w:cs="Calibri" w:eastAsia="Calibri" w:hAnsi="Calibri"/>
                <w:sz w:val="18"/>
                <w:szCs w:val="18"/>
              </w:rPr>
              <w:t xml:space="preserve">OpenTelemetry traces to the firm SIEM</w:t>
            </w:r>
          </w:p>
        </w:tc>
        <w:tc>
          <w:tcPr>
            <w:tcW w:type="dxa" w:w="802"/>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1</w:t>
            </w:r>
          </w:p>
        </w:tc>
      </w:tr>
    </w:tbl>
    <w:p>
      <w:pPr>
        <w:spacing w:after="120"/>
      </w:pPr>
    </w:p>
    <w:p>
      <w:pPr>
        <w:pStyle w:val="Heading3"/>
        <w:keepNext/>
      </w:pPr>
      <w:r>
        <w:rPr>
          <w:rFonts w:ascii="Calibri" w:cs="Calibri" w:eastAsia="Calibri" w:hAnsi="Calibri"/>
        </w:rPr>
        <w:t xml:space="preserve">Autonomy by agent</w:t>
      </w:r>
    </w:p>
    <w:tbl>
      <w:tblPr>
        <w:tblW w:type="dxa" w:w="9360"/>
        <w:tblBorders>
          <w:top w:val="single" w:color="CBD5E1" w:sz="4"/>
          <w:left w:val="single" w:color="CBD5E1" w:sz="4"/>
          <w:bottom w:val="single" w:color="CBD5E1" w:sz="4"/>
          <w:right w:val="single" w:color="CBD5E1" w:sz="4"/>
          <w:insideH w:val="single" w:color="CBD5E1" w:sz="4"/>
          <w:insideV w:val="single" w:color="CBD5E1" w:sz="4"/>
        </w:tblBorders>
        <w:tblLayout w:type="fixed"/>
      </w:tblPr>
      <w:tblGrid>
        <w:gridCol w:w="1603"/>
        <w:gridCol w:w="1153"/>
        <w:gridCol w:w="1662"/>
        <w:gridCol w:w="2522"/>
        <w:gridCol w:w="2420"/>
      </w:tblGrid>
      <w:tr>
        <w:trPr>
          <w:cantSplit/>
          <w:tblHeader/>
        </w:trPr>
        <w:tc>
          <w:tcPr>
            <w:tcW w:type="dxa" w:w="1603"/>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Agent</w:t>
            </w:r>
          </w:p>
        </w:tc>
        <w:tc>
          <w:tcPr>
            <w:tcW w:type="dxa" w:w="1153"/>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Tier</w:t>
            </w:r>
          </w:p>
        </w:tc>
        <w:tc>
          <w:tcPr>
            <w:tcW w:type="dxa" w:w="1662"/>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Human role</w:t>
            </w:r>
          </w:p>
        </w:tc>
        <w:tc>
          <w:tcPr>
            <w:tcW w:type="dxa" w:w="2522"/>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Approval bound to</w:t>
            </w:r>
          </w:p>
        </w:tc>
        <w:tc>
          <w:tcPr>
            <w:tcW w:type="dxa" w:w="2420"/>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Limits and kill switch</w:t>
            </w:r>
          </w:p>
        </w:tc>
      </w:tr>
      <w:tr>
        <w:trPr>
          <w:cantSplit/>
          <w:tblHeader w:val="false"/>
        </w:trPr>
        <w:tc>
          <w:tcPr>
            <w:tcW w:type="dxa" w:w="1603"/>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Launch Orchestrator</w:t>
            </w:r>
          </w:p>
        </w:tc>
        <w:tc>
          <w:tcPr>
            <w:tcW w:type="dxa" w:w="1153"/>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Tier 2</w:t>
            </w:r>
          </w:p>
        </w:tc>
        <w:tc>
          <w:tcPr>
            <w:tcW w:type="dxa" w:w="1662"/>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Sees plan and status</w:t>
            </w:r>
          </w:p>
        </w:tc>
        <w:tc>
          <w:tcPr>
            <w:tcW w:type="dxa" w:w="2522"/>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Not applicable</w:t>
            </w:r>
          </w:p>
        </w:tc>
        <w:tc>
          <w:tcPr>
            <w:tcW w:type="dxa" w:w="2420"/>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Token budget per launch</w:t>
            </w:r>
          </w:p>
          <w:p>
            <w:pPr>
              <w:spacing w:after="0" w:before="0" w:line="252"/>
            </w:pPr>
            <w:r>
              <w:rPr>
                <w:rFonts w:ascii="Calibri" w:cs="Calibri" w:eastAsia="Calibri" w:hAnsi="Calibri"/>
                <w:sz w:val="18"/>
                <w:szCs w:val="18"/>
              </w:rPr>
              <w:t xml:space="preserve">Kill switch</w:t>
            </w:r>
          </w:p>
        </w:tc>
      </w:tr>
      <w:tr>
        <w:trPr>
          <w:cantSplit/>
          <w:tblHeader w:val="false"/>
        </w:trPr>
        <w:tc>
          <w:tcPr>
            <w:tcW w:type="dxa" w:w="1603"/>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Entity Resolution</w:t>
            </w:r>
          </w:p>
        </w:tc>
        <w:tc>
          <w:tcPr>
            <w:tcW w:type="dxa" w:w="1153"/>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Tier 2, read-only</w:t>
            </w:r>
          </w:p>
        </w:tc>
        <w:tc>
          <w:tcPr>
            <w:tcW w:type="dxa" w:w="1662"/>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None</w:t>
            </w:r>
          </w:p>
        </w:tc>
        <w:tc>
          <w:tcPr>
            <w:tcW w:type="dxa" w:w="2522"/>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Not applicable</w:t>
            </w:r>
          </w:p>
        </w:tc>
        <w:tc>
          <w:tcPr>
            <w:tcW w:type="dxa" w:w="242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Read-only scopes</w:t>
            </w:r>
          </w:p>
        </w:tc>
      </w:tr>
      <w:tr>
        <w:trPr>
          <w:cantSplit/>
          <w:tblHeader w:val="false"/>
        </w:trPr>
        <w:tc>
          <w:tcPr>
            <w:tcW w:type="dxa" w:w="1603"/>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Conflicts &amp; Independence</w:t>
            </w:r>
          </w:p>
        </w:tc>
        <w:tc>
          <w:tcPr>
            <w:tcW w:type="dxa" w:w="1153"/>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Tier 1</w:t>
            </w:r>
          </w:p>
        </w:tc>
        <w:tc>
          <w:tcPr>
            <w:tcW w:type="dxa" w:w="1662"/>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Risk decides</w:t>
            </w:r>
          </w:p>
        </w:tc>
        <w:tc>
          <w:tcPr>
            <w:tcW w:type="dxa" w:w="2522"/>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The reviewer’s decision, signed and logged</w:t>
            </w:r>
          </w:p>
        </w:tc>
        <w:tc>
          <w:tcPr>
            <w:tcW w:type="dxa" w:w="2420"/>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Read-only</w:t>
            </w:r>
          </w:p>
          <w:p>
            <w:pPr>
              <w:spacing w:after="0" w:before="0" w:line="252"/>
            </w:pPr>
            <w:r>
              <w:rPr>
                <w:rFonts w:ascii="Calibri" w:cs="Calibri" w:eastAsia="Calibri" w:hAnsi="Calibri"/>
                <w:sz w:val="18"/>
                <w:szCs w:val="18"/>
              </w:rPr>
              <w:t xml:space="preserve">No agent decides</w:t>
            </w:r>
          </w:p>
        </w:tc>
      </w:tr>
      <w:tr>
        <w:trPr>
          <w:cantSplit/>
          <w:tblHeader w:val="false"/>
        </w:trPr>
        <w:tc>
          <w:tcPr>
            <w:tcW w:type="dxa" w:w="1603"/>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Scoping &amp; Letter</w:t>
            </w:r>
          </w:p>
        </w:tc>
        <w:tc>
          <w:tcPr>
            <w:tcW w:type="dxa" w:w="1153"/>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Tier 1</w:t>
            </w:r>
          </w:p>
        </w:tc>
        <w:tc>
          <w:tcPr>
            <w:tcW w:type="dxa" w:w="1662"/>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Manager edits</w:t>
            </w:r>
          </w:p>
          <w:p>
            <w:pPr>
              <w:spacing w:after="0" w:before="0" w:line="252"/>
            </w:pPr>
            <w:r>
              <w:rPr>
                <w:rFonts w:ascii="Calibri" w:cs="Calibri" w:eastAsia="Calibri" w:hAnsi="Calibri"/>
                <w:sz w:val="18"/>
                <w:szCs w:val="18"/>
              </w:rPr>
              <w:t xml:space="preserve">Partner approves</w:t>
            </w:r>
          </w:p>
        </w:tc>
        <w:tc>
          <w:tcPr>
            <w:tcW w:type="dxa" w:w="2522"/>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The partner’s approval of the letter</w:t>
            </w:r>
          </w:p>
        </w:tc>
        <w:tc>
          <w:tcPr>
            <w:tcW w:type="dxa" w:w="2420"/>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Approved templates only</w:t>
            </w:r>
          </w:p>
          <w:p>
            <w:pPr>
              <w:spacing w:after="0" w:before="0" w:line="252"/>
            </w:pPr>
            <w:r>
              <w:rPr>
                <w:rFonts w:ascii="Calibri" w:cs="Calibri" w:eastAsia="Calibri" w:hAnsi="Calibri"/>
                <w:sz w:val="18"/>
                <w:szCs w:val="18"/>
              </w:rPr>
              <w:t xml:space="preserve">Drafts only</w:t>
            </w:r>
          </w:p>
        </w:tc>
      </w:tr>
      <w:tr>
        <w:trPr>
          <w:cantSplit/>
          <w:tblHeader w:val="false"/>
        </w:trPr>
        <w:tc>
          <w:tcPr>
            <w:tcW w:type="dxa" w:w="1603"/>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Pricing &amp; Budget</w:t>
            </w:r>
          </w:p>
        </w:tc>
        <w:tc>
          <w:tcPr>
            <w:tcW w:type="dxa" w:w="1153"/>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Tier 2</w:t>
            </w:r>
          </w:p>
        </w:tc>
        <w:tc>
          <w:tcPr>
            <w:tcW w:type="dxa" w:w="1662"/>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Manager accepts</w:t>
            </w:r>
          </w:p>
        </w:tc>
        <w:tc>
          <w:tcPr>
            <w:tcW w:type="dxa" w:w="2522"/>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Not applicable</w:t>
            </w:r>
          </w:p>
        </w:tc>
        <w:tc>
          <w:tcPr>
            <w:tcW w:type="dxa" w:w="242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Read-only</w:t>
            </w:r>
          </w:p>
        </w:tc>
      </w:tr>
      <w:tr>
        <w:trPr>
          <w:cantSplit/>
          <w:tblHeader w:val="false"/>
        </w:trPr>
        <w:tc>
          <w:tcPr>
            <w:tcW w:type="dxa" w:w="1603"/>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Staffing</w:t>
            </w:r>
          </w:p>
        </w:tc>
        <w:tc>
          <w:tcPr>
            <w:tcW w:type="dxa" w:w="1153"/>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Tier 2</w:t>
            </w:r>
          </w:p>
        </w:tc>
        <w:tc>
          <w:tcPr>
            <w:tcW w:type="dxa" w:w="1662"/>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Manager confirms</w:t>
            </w:r>
          </w:p>
        </w:tc>
        <w:tc>
          <w:tcPr>
            <w:tcW w:type="dxa" w:w="2522"/>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Not applicable</w:t>
            </w:r>
          </w:p>
        </w:tc>
        <w:tc>
          <w:tcPr>
            <w:tcW w:type="dxa" w:w="242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Clearance returned as yes or no only</w:t>
            </w:r>
          </w:p>
        </w:tc>
      </w:tr>
      <w:tr>
        <w:trPr>
          <w:cantSplit/>
          <w:tblHeader w:val="false"/>
        </w:trPr>
        <w:tc>
          <w:tcPr>
            <w:tcW w:type="dxa" w:w="1603"/>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Engagement Setup</w:t>
            </w:r>
          </w:p>
        </w:tc>
        <w:tc>
          <w:tcPr>
            <w:tcW w:type="dxa" w:w="1153"/>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Tier 3, policy-gated</w:t>
            </w:r>
          </w:p>
        </w:tc>
        <w:tc>
          <w:tcPr>
            <w:tcW w:type="dxa" w:w="1662"/>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None (gated by policy)</w:t>
            </w:r>
          </w:p>
        </w:tc>
        <w:tc>
          <w:tcPr>
            <w:tcW w:type="dxa" w:w="2522"/>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The partner’s approval of that exact setup request, expiring at the end of the business day</w:t>
            </w:r>
          </w:p>
        </w:tc>
        <w:tc>
          <w:tcPr>
            <w:tcW w:type="dxa" w:w="2420"/>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Idempotent writes</w:t>
            </w:r>
          </w:p>
          <w:p>
            <w:pPr>
              <w:spacing w:after="0" w:before="0" w:line="252"/>
            </w:pPr>
            <w:r>
              <w:rPr>
                <w:rFonts w:ascii="Calibri" w:cs="Calibri" w:eastAsia="Calibri" w:hAnsi="Calibri"/>
                <w:sz w:val="18"/>
                <w:szCs w:val="18"/>
              </w:rPr>
              <w:t xml:space="preserve">Kill switch drilled before go-live</w:t>
            </w:r>
          </w:p>
        </w:tc>
      </w:tr>
    </w:tbl>
    <w:p>
      <w:pPr>
        <w:spacing w:after="120"/>
      </w:pPr>
    </w:p>
    <w:p>
      <w:pPr>
        <w:pStyle w:val="Heading3"/>
        <w:keepNext/>
      </w:pPr>
      <w:r>
        <w:rPr>
          <w:rFonts w:ascii="Calibri" w:cs="Calibri" w:eastAsia="Calibri" w:hAnsi="Calibri"/>
        </w:rPr>
        <w:t xml:space="preserve">Promotion and demotion</w:t>
      </w:r>
    </w:p>
    <w:tbl>
      <w:tblPr>
        <w:tblW w:type="dxa" w:w="9360"/>
        <w:tblBorders>
          <w:top w:val="single" w:color="CBD5E1" w:sz="4"/>
          <w:left w:val="single" w:color="CBD5E1" w:sz="4"/>
          <w:bottom w:val="single" w:color="CBD5E1" w:sz="4"/>
          <w:right w:val="single" w:color="CBD5E1" w:sz="4"/>
          <w:insideH w:val="single" w:color="CBD5E1" w:sz="4"/>
          <w:insideV w:val="single" w:color="CBD5E1" w:sz="4"/>
        </w:tblBorders>
        <w:tblLayout w:type="fixed"/>
      </w:tblPr>
      <w:tblGrid>
        <w:gridCol w:w="1584"/>
        <w:gridCol w:w="1279"/>
        <w:gridCol w:w="3630"/>
        <w:gridCol w:w="2867"/>
      </w:tblGrid>
      <w:tr>
        <w:trPr>
          <w:cantSplit/>
          <w:tblHeader/>
        </w:trPr>
        <w:tc>
          <w:tcPr>
            <w:tcW w:type="dxa" w:w="1584"/>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Agent</w:t>
            </w:r>
          </w:p>
        </w:tc>
        <w:tc>
          <w:tcPr>
            <w:tcW w:type="dxa" w:w="1279"/>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Current tier</w:t>
            </w:r>
          </w:p>
        </w:tc>
        <w:tc>
          <w:tcPr>
            <w:tcW w:type="dxa" w:w="3630"/>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Evidence to promote</w:t>
            </w:r>
          </w:p>
        </w:tc>
        <w:tc>
          <w:tcPr>
            <w:tcW w:type="dxa" w:w="2867"/>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Demotion triggers</w:t>
            </w:r>
          </w:p>
        </w:tc>
      </w:tr>
      <w:tr>
        <w:trPr>
          <w:cantSplit/>
          <w:tblHeader w:val="false"/>
        </w:trPr>
        <w:tc>
          <w:tcPr>
            <w:tcW w:type="dxa" w:w="1584"/>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Engagement Setup</w:t>
            </w:r>
          </w:p>
        </w:tc>
        <w:tc>
          <w:tcPr>
            <w:tcW w:type="dxa" w:w="1279"/>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Tier 3, gated, from month 12</w:t>
            </w:r>
          </w:p>
        </w:tc>
        <w:tc>
          <w:tcPr>
            <w:tcW w:type="dxa" w:w="3630"/>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At month 8 it proposes setups that match the partners’ approvals for a full quarter</w:t>
            </w:r>
          </w:p>
          <w:p>
            <w:pPr>
              <w:spacing w:after="80" w:before="0" w:line="252"/>
            </w:pPr>
            <w:r>
              <w:rPr>
                <w:rFonts w:ascii="Calibri" w:cs="Calibri" w:eastAsia="Calibri" w:hAnsi="Calibri"/>
                <w:sz w:val="18"/>
                <w:szCs w:val="18"/>
              </w:rPr>
              <w:t xml:space="preserve">Red-team findings closed</w:t>
            </w:r>
          </w:p>
          <w:p>
            <w:pPr>
              <w:spacing w:after="80" w:before="0" w:line="252"/>
            </w:pPr>
            <w:r>
              <w:rPr>
                <w:rFonts w:ascii="Calibri" w:cs="Calibri" w:eastAsia="Calibri" w:hAnsi="Calibri"/>
                <w:sz w:val="18"/>
                <w:szCs w:val="18"/>
              </w:rPr>
              <w:t xml:space="preserve">Impact assessment updated</w:t>
            </w:r>
          </w:p>
          <w:p>
            <w:pPr>
              <w:spacing w:after="0" w:before="0" w:line="252"/>
            </w:pPr>
            <w:r>
              <w:rPr>
                <w:rFonts w:ascii="Calibri" w:cs="Calibri" w:eastAsia="Calibri" w:hAnsi="Calibri"/>
                <w:sz w:val="18"/>
                <w:szCs w:val="18"/>
              </w:rPr>
              <w:t xml:space="preserve">Finance and Risk &amp; Quality agree</w:t>
            </w:r>
          </w:p>
        </w:tc>
        <w:tc>
          <w:tcPr>
            <w:tcW w:type="dxa" w:w="2867"/>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An approval fails its binding check</w:t>
            </w:r>
          </w:p>
          <w:p>
            <w:pPr>
              <w:spacing w:after="80" w:before="0" w:line="252"/>
            </w:pPr>
            <w:r>
              <w:rPr>
                <w:rFonts w:ascii="Calibri" w:cs="Calibri" w:eastAsia="Calibri" w:hAnsi="Calibri"/>
                <w:sz w:val="18"/>
                <w:szCs w:val="18"/>
              </w:rPr>
              <w:t xml:space="preserve">Independence status changes after approval</w:t>
            </w:r>
          </w:p>
          <w:p>
            <w:pPr>
              <w:spacing w:after="80" w:before="0" w:line="252"/>
            </w:pPr>
            <w:r>
              <w:rPr>
                <w:rFonts w:ascii="Calibri" w:cs="Calibri" w:eastAsia="Calibri" w:hAnsi="Calibri"/>
                <w:sz w:val="18"/>
                <w:szCs w:val="18"/>
              </w:rPr>
              <w:t xml:space="preserve">Stale hierarchy data</w:t>
            </w:r>
          </w:p>
          <w:p>
            <w:pPr>
              <w:spacing w:after="0" w:before="0" w:line="252"/>
            </w:pPr>
            <w:r>
              <w:rPr>
                <w:rFonts w:ascii="Calibri" w:cs="Calibri" w:eastAsia="Calibri" w:hAnsi="Calibri"/>
                <w:sz w:val="18"/>
                <w:szCs w:val="18"/>
              </w:rPr>
              <w:t xml:space="preserve">Any security event</w:t>
            </w:r>
          </w:p>
        </w:tc>
      </w:tr>
      <w:tr>
        <w:trPr>
          <w:cantSplit/>
          <w:tblHeader w:val="false"/>
        </w:trPr>
        <w:tc>
          <w:tcPr>
            <w:tcW w:type="dxa" w:w="1584"/>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Scoping &amp; Letter</w:t>
            </w:r>
          </w:p>
        </w:tc>
        <w:tc>
          <w:tcPr>
            <w:tcW w:type="dxa" w:w="1279"/>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Tier 1, drafts only</w:t>
            </w:r>
          </w:p>
        </w:tc>
        <w:tc>
          <w:tcPr>
            <w:tcW w:type="dxa" w:w="363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Stays at tier 1: the partner approves every letter. Standard letters could move to tier 2 only after clause accuracy holds for two quarters and Risk &amp; Quality agrees</w:t>
            </w:r>
          </w:p>
        </w:tc>
        <w:tc>
          <w:tcPr>
            <w:tcW w:type="dxa" w:w="2867"/>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Clause accuracy below threshold</w:t>
            </w:r>
          </w:p>
          <w:p>
            <w:pPr>
              <w:spacing w:after="0" w:before="0" w:line="252"/>
            </w:pPr>
            <w:r>
              <w:rPr>
                <w:rFonts w:ascii="Calibri" w:cs="Calibri" w:eastAsia="Calibri" w:hAnsi="Calibri"/>
                <w:sz w:val="18"/>
                <w:szCs w:val="18"/>
              </w:rPr>
              <w:t xml:space="preserve">A template change not yet evaluated</w:t>
            </w:r>
          </w:p>
        </w:tc>
      </w:tr>
      <w:tr>
        <w:trPr>
          <w:cantSplit/>
          <w:tblHeader w:val="false"/>
        </w:trPr>
        <w:tc>
          <w:tcPr>
            <w:tcW w:type="dxa" w:w="1584"/>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Conflicts &amp; Independence</w:t>
            </w:r>
          </w:p>
        </w:tc>
        <w:tc>
          <w:tcPr>
            <w:tcW w:type="dxa" w:w="1279"/>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Tier 1 by design</w:t>
            </w:r>
          </w:p>
        </w:tc>
        <w:tc>
          <w:tcPr>
            <w:tcW w:type="dxa" w:w="363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Not promoted: independence stays a human-led decision</w:t>
            </w:r>
          </w:p>
        </w:tc>
        <w:tc>
          <w:tcPr>
            <w:tcW w:type="dxa" w:w="2867"/>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Finding recall below threshold</w:t>
            </w:r>
          </w:p>
          <w:p>
            <w:pPr>
              <w:spacing w:after="0" w:before="0" w:line="252"/>
            </w:pPr>
            <w:r>
              <w:rPr>
                <w:rFonts w:ascii="Calibri" w:cs="Calibri" w:eastAsia="Calibri" w:hAnsi="Calibri"/>
                <w:sz w:val="18"/>
                <w:szCs w:val="18"/>
              </w:rPr>
              <w:t xml:space="preserve">The restricted-entity list out of date</w:t>
            </w:r>
          </w:p>
        </w:tc>
      </w:tr>
      <w:tr>
        <w:trPr>
          <w:cantSplit/>
          <w:tblHeader w:val="false"/>
        </w:trPr>
        <w:tc>
          <w:tcPr>
            <w:tcW w:type="dxa" w:w="1584"/>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Staffing</w:t>
            </w:r>
          </w:p>
        </w:tc>
        <w:tc>
          <w:tcPr>
            <w:tcW w:type="dxa" w:w="1279"/>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Tier 2, proposes</w:t>
            </w:r>
          </w:p>
        </w:tc>
        <w:tc>
          <w:tcPr>
            <w:tcW w:type="dxa" w:w="363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Stays at tier 2: managers confirm every team</w:t>
            </w:r>
          </w:p>
        </w:tc>
        <w:tc>
          <w:tcPr>
            <w:tcW w:type="dxa" w:w="2867"/>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The clearance-flag check fails</w:t>
            </w:r>
          </w:p>
          <w:p>
            <w:pPr>
              <w:spacing w:after="0" w:before="0" w:line="252"/>
            </w:pPr>
            <w:r>
              <w:rPr>
                <w:rFonts w:ascii="Calibri" w:cs="Calibri" w:eastAsia="Calibri" w:hAnsi="Calibri"/>
                <w:sz w:val="18"/>
                <w:szCs w:val="18"/>
              </w:rPr>
              <w:t xml:space="preserve">Stale Workday data</w:t>
            </w:r>
          </w:p>
        </w:tc>
      </w:tr>
    </w:tbl>
    <w:p>
      <w:pPr>
        <w:spacing w:after="120"/>
      </w:pPr>
    </w:p>
    <w:p>
      <w:pPr>
        <w:pStyle w:val="Heading3"/>
        <w:keepNext/>
      </w:pPr>
      <w:r>
        <w:rPr>
          <w:rFonts w:ascii="Calibri" w:cs="Calibri" w:eastAsia="Calibri" w:hAnsi="Calibri"/>
        </w:rPr>
        <w:t xml:space="preserve">Human takeover</w:t>
      </w:r>
    </w:p>
    <w:tbl>
      <w:tblPr>
        <w:tblW w:type="dxa" w:w="9360"/>
        <w:tblBorders>
          <w:top w:val="single" w:color="CBD5E1" w:sz="4"/>
          <w:left w:val="single" w:color="CBD5E1" w:sz="4"/>
          <w:bottom w:val="single" w:color="CBD5E1" w:sz="4"/>
          <w:right w:val="single" w:color="CBD5E1" w:sz="4"/>
          <w:insideH w:val="single" w:color="CBD5E1" w:sz="4"/>
          <w:insideV w:val="single" w:color="CBD5E1" w:sz="4"/>
        </w:tblBorders>
        <w:tblLayout w:type="fixed"/>
      </w:tblPr>
      <w:tblGrid>
        <w:gridCol w:w="1584"/>
        <w:gridCol w:w="1386"/>
        <w:gridCol w:w="2794"/>
        <w:gridCol w:w="2082"/>
        <w:gridCol w:w="1514"/>
      </w:tblGrid>
      <w:tr>
        <w:trPr>
          <w:cantSplit/>
          <w:tblHeader/>
        </w:trPr>
        <w:tc>
          <w:tcPr>
            <w:tcW w:type="dxa" w:w="1584"/>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Agent</w:t>
            </w:r>
          </w:p>
        </w:tc>
        <w:tc>
          <w:tcPr>
            <w:tcW w:type="dxa" w:w="1386"/>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Who takes over</w:t>
            </w:r>
          </w:p>
        </w:tc>
        <w:tc>
          <w:tcPr>
            <w:tcW w:type="dxa" w:w="2794"/>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Information handed over</w:t>
            </w:r>
          </w:p>
        </w:tc>
        <w:tc>
          <w:tcPr>
            <w:tcW w:type="dxa" w:w="2082"/>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Degraded mode and service level</w:t>
            </w:r>
          </w:p>
        </w:tc>
        <w:tc>
          <w:tcPr>
            <w:tcW w:type="dxa" w:w="1514"/>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Drills</w:t>
            </w:r>
          </w:p>
        </w:tc>
      </w:tr>
      <w:tr>
        <w:trPr>
          <w:cantSplit/>
          <w:tblHeader w:val="false"/>
        </w:trPr>
        <w:tc>
          <w:tcPr>
            <w:tcW w:type="dxa" w:w="1584"/>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Engagement Setup</w:t>
            </w:r>
          </w:p>
        </w:tc>
        <w:tc>
          <w:tcPr>
            <w:tcW w:type="dxa" w:w="1386"/>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Finance project-setup team</w:t>
            </w:r>
          </w:p>
        </w:tc>
        <w:tc>
          <w:tcPr>
            <w:tcW w:type="dxa" w:w="2794"/>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The launch trace, the partner’s bound approval, the setup request and any SAP objects already created</w:t>
            </w:r>
          </w:p>
        </w:tc>
        <w:tc>
          <w:tcPr>
            <w:tcW w:type="dxa" w:w="2082"/>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Manual SAP setup as today, within one business day</w:t>
            </w:r>
          </w:p>
        </w:tc>
        <w:tc>
          <w:tcPr>
            <w:tcW w:type="dxa" w:w="1514"/>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Before tier 3 goes live, then quarterly</w:t>
            </w:r>
          </w:p>
        </w:tc>
      </w:tr>
      <w:tr>
        <w:trPr>
          <w:cantSplit/>
          <w:tblHeader w:val="false"/>
        </w:trPr>
        <w:tc>
          <w:tcPr>
            <w:tcW w:type="dxa" w:w="1584"/>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Launch Orchestrator</w:t>
            </w:r>
          </w:p>
        </w:tc>
        <w:tc>
          <w:tcPr>
            <w:tcW w:type="dxa" w:w="1386"/>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Practice operations</w:t>
            </w:r>
          </w:p>
        </w:tc>
        <w:tc>
          <w:tcPr>
            <w:tcW w:type="dxa" w:w="2794"/>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The launch plan and status of every launch in flight</w:t>
            </w:r>
          </w:p>
        </w:tc>
        <w:tc>
          <w:tcPr>
            <w:tcW w:type="dxa" w:w="2082"/>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Managers follow the launch checklist by hand</w:t>
            </w:r>
          </w:p>
        </w:tc>
        <w:tc>
          <w:tcPr>
            <w:tcW w:type="dxa" w:w="1514"/>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Before phase 2, then twice a year</w:t>
            </w:r>
          </w:p>
        </w:tc>
      </w:tr>
      <w:tr>
        <w:trPr>
          <w:cantSplit/>
          <w:tblHeader w:val="false"/>
        </w:trPr>
        <w:tc>
          <w:tcPr>
            <w:tcW w:type="dxa" w:w="1584"/>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Staffing</w:t>
            </w:r>
          </w:p>
        </w:tc>
        <w:tc>
          <w:tcPr>
            <w:tcW w:type="dxa" w:w="1386"/>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Resource management</w:t>
            </w:r>
          </w:p>
        </w:tc>
        <w:tc>
          <w:tcPr>
            <w:tcW w:type="dxa" w:w="2794"/>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Proposed teams and their clearance flags (yes or no only)</w:t>
            </w:r>
          </w:p>
        </w:tc>
        <w:tc>
          <w:tcPr>
            <w:tcW w:type="dxa" w:w="2082"/>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Manual staffing as today</w:t>
            </w:r>
          </w:p>
        </w:tc>
        <w:tc>
          <w:tcPr>
            <w:tcW w:type="dxa" w:w="1514"/>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Twice a year</w:t>
            </w:r>
          </w:p>
        </w:tc>
      </w:tr>
    </w:tbl>
    <w:p>
      <w:pPr>
        <w:spacing w:after="120"/>
      </w:pPr>
    </w:p>
    <w:p>
      <w:pPr>
        <w:pStyle w:val="Heading3"/>
        <w:keepNext/>
      </w:pPr>
      <w:r>
        <w:rPr>
          <w:rFonts w:ascii="Calibri" w:cs="Calibri" w:eastAsia="Calibri" w:hAnsi="Calibri"/>
        </w:rPr>
        <w:t xml:space="preserve">Threat coverage</w:t>
      </w:r>
    </w:p>
    <w:tbl>
      <w:tblPr>
        <w:tblW w:type="dxa" w:w="9360"/>
        <w:tblBorders>
          <w:top w:val="single" w:color="CBD5E1" w:sz="4"/>
          <w:left w:val="single" w:color="CBD5E1" w:sz="4"/>
          <w:bottom w:val="single" w:color="CBD5E1" w:sz="4"/>
          <w:right w:val="single" w:color="CBD5E1" w:sz="4"/>
          <w:insideH w:val="single" w:color="CBD5E1" w:sz="4"/>
          <w:insideV w:val="single" w:color="CBD5E1" w:sz="4"/>
        </w:tblBorders>
        <w:tblLayout w:type="fixed"/>
      </w:tblPr>
      <w:tblGrid>
        <w:gridCol w:w="1990"/>
        <w:gridCol w:w="3110"/>
        <w:gridCol w:w="4260"/>
      </w:tblGrid>
      <w:tr>
        <w:trPr>
          <w:cantSplit/>
          <w:tblHeader/>
        </w:trPr>
        <w:tc>
          <w:tcPr>
            <w:tcW w:type="dxa" w:w="1990"/>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OWASP agentic risk</w:t>
            </w:r>
          </w:p>
        </w:tc>
        <w:tc>
          <w:tcPr>
            <w:tcW w:type="dxa" w:w="3110"/>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What it looks like here</w:t>
            </w:r>
          </w:p>
        </w:tc>
        <w:tc>
          <w:tcPr>
            <w:tcW w:type="dxa" w:w="4260"/>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Controls in this design</w:t>
            </w:r>
          </w:p>
        </w:tc>
      </w:tr>
      <w:tr>
        <w:trPr>
          <w:cantSplit/>
          <w:tblHeader w:val="false"/>
        </w:trPr>
        <w:tc>
          <w:tcPr>
            <w:tcW w:type="dxa" w:w="1990"/>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ASI01 Agent Goal Hijack</w:t>
            </w:r>
          </w:p>
        </w:tc>
        <w:tc>
          <w:tcPr>
            <w:tcW w:type="dxa" w:w="311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Hidden instructions in client documents or precedent redirect a letter or a finding</w:t>
            </w:r>
          </w:p>
        </w:tc>
        <w:tc>
          <w:tcPr>
            <w:tcW w:type="dxa" w:w="4260"/>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Input and tool-result screening at AI Gateway</w:t>
            </w:r>
          </w:p>
          <w:p>
            <w:pPr>
              <w:spacing w:after="80" w:before="0" w:line="252"/>
            </w:pPr>
            <w:r>
              <w:rPr>
                <w:rFonts w:ascii="Calibri" w:cs="Calibri" w:eastAsia="Calibri" w:hAnsi="Calibri"/>
                <w:sz w:val="18"/>
                <w:szCs w:val="18"/>
              </w:rPr>
              <w:t xml:space="preserve">Template and clause checks</w:t>
            </w:r>
          </w:p>
          <w:p>
            <w:pPr>
              <w:spacing w:after="0" w:before="0" w:line="252"/>
            </w:pPr>
            <w:r>
              <w:rPr>
                <w:rFonts w:ascii="Calibri" w:cs="Calibri" w:eastAsia="Calibri" w:hAnsi="Calibri"/>
                <w:sz w:val="18"/>
                <w:szCs w:val="18"/>
              </w:rPr>
              <w:t xml:space="preserve">The partner approves the exact letter</w:t>
            </w:r>
          </w:p>
        </w:tc>
      </w:tr>
      <w:tr>
        <w:trPr>
          <w:cantSplit/>
          <w:tblHeader w:val="false"/>
        </w:trPr>
        <w:tc>
          <w:tcPr>
            <w:tcW w:type="dxa" w:w="1990"/>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ASI02 Tool Misuse</w:t>
            </w:r>
          </w:p>
        </w:tc>
        <w:tc>
          <w:tcPr>
            <w:tcW w:type="dxa" w:w="311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The setup agent creates the wrong SAP objects</w:t>
            </w:r>
          </w:p>
        </w:tc>
        <w:tc>
          <w:tcPr>
            <w:tcW w:type="dxa" w:w="4260"/>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Separate read and write tools</w:t>
            </w:r>
          </w:p>
          <w:p>
            <w:pPr>
              <w:spacing w:after="80" w:before="0" w:line="252"/>
            </w:pPr>
            <w:r>
              <w:rPr>
                <w:rFonts w:ascii="Calibri" w:cs="Calibri" w:eastAsia="Calibri" w:hAnsi="Calibri"/>
                <w:sz w:val="18"/>
                <w:szCs w:val="18"/>
              </w:rPr>
              <w:t xml:space="preserve">Schema validation</w:t>
            </w:r>
          </w:p>
          <w:p>
            <w:pPr>
              <w:spacing w:after="80" w:before="0" w:line="252"/>
            </w:pPr>
            <w:r>
              <w:rPr>
                <w:rFonts w:ascii="Calibri" w:cs="Calibri" w:eastAsia="Calibri" w:hAnsi="Calibri"/>
                <w:sz w:val="18"/>
                <w:szCs w:val="18"/>
              </w:rPr>
              <w:t xml:space="preserve">Idempotent writes</w:t>
            </w:r>
          </w:p>
          <w:p>
            <w:pPr>
              <w:spacing w:after="0" w:before="0" w:line="252"/>
            </w:pPr>
            <w:r>
              <w:rPr>
                <w:rFonts w:ascii="Calibri" w:cs="Calibri" w:eastAsia="Calibri" w:hAnsi="Calibri"/>
                <w:sz w:val="18"/>
                <w:szCs w:val="18"/>
              </w:rPr>
              <w:t xml:space="preserve">Per-launch limits</w:t>
            </w:r>
          </w:p>
        </w:tc>
      </w:tr>
      <w:tr>
        <w:trPr>
          <w:cantSplit/>
          <w:tblHeader w:val="false"/>
        </w:trPr>
        <w:tc>
          <w:tcPr>
            <w:tcW w:type="dxa" w:w="1990"/>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ASI03 Identity &amp; Privilege Abuse</w:t>
            </w:r>
          </w:p>
        </w:tc>
        <w:tc>
          <w:tcPr>
            <w:tcW w:type="dxa" w:w="311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An agent acts beyond the authority of the person it acts for</w:t>
            </w:r>
          </w:p>
        </w:tc>
        <w:tc>
          <w:tcPr>
            <w:tcW w:type="dxa" w:w="4260"/>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One identity per agent</w:t>
            </w:r>
          </w:p>
          <w:p>
            <w:pPr>
              <w:spacing w:after="80" w:before="0" w:line="252"/>
            </w:pPr>
            <w:r>
              <w:rPr>
                <w:rFonts w:ascii="Calibri" w:cs="Calibri" w:eastAsia="Calibri" w:hAnsi="Calibri"/>
                <w:sz w:val="18"/>
                <w:szCs w:val="18"/>
              </w:rPr>
              <w:t xml:space="preserve">On-behalf-of tokens with narrowed scopes</w:t>
            </w:r>
          </w:p>
          <w:p>
            <w:pPr>
              <w:spacing w:after="0" w:before="0" w:line="252"/>
            </w:pPr>
            <w:r>
              <w:rPr>
                <w:rFonts w:ascii="Calibri" w:cs="Calibri" w:eastAsia="Calibri" w:hAnsi="Calibri"/>
                <w:sz w:val="18"/>
                <w:szCs w:val="18"/>
              </w:rPr>
              <w:t xml:space="preserve">The approval bound to the exact setup request</w:t>
            </w:r>
          </w:p>
        </w:tc>
      </w:tr>
      <w:tr>
        <w:trPr>
          <w:cantSplit/>
          <w:tblHeader w:val="false"/>
        </w:trPr>
        <w:tc>
          <w:tcPr>
            <w:tcW w:type="dxa" w:w="1990"/>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ASI04 Agentic Supply Chain Vulnerabilities</w:t>
            </w:r>
          </w:p>
        </w:tc>
        <w:tc>
          <w:tcPr>
            <w:tcW w:type="dxa" w:w="311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 poisoned or changed MCP server enters the launch path</w:t>
            </w:r>
          </w:p>
        </w:tc>
        <w:tc>
          <w:tcPr>
            <w:tcW w:type="dxa" w:w="4260"/>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Only registered, version-pinned MCP servers</w:t>
            </w:r>
          </w:p>
          <w:p>
            <w:pPr>
              <w:spacing w:after="80" w:before="0" w:line="252"/>
            </w:pPr>
            <w:r>
              <w:rPr>
                <w:rFonts w:ascii="Calibri" w:cs="Calibri" w:eastAsia="Calibri" w:hAnsi="Calibri"/>
                <w:sz w:val="18"/>
                <w:szCs w:val="18"/>
              </w:rPr>
              <w:t xml:space="preserve">Reviewed tool definitions</w:t>
            </w:r>
          </w:p>
          <w:p>
            <w:pPr>
              <w:spacing w:after="0" w:before="0" w:line="252"/>
            </w:pPr>
            <w:r>
              <w:rPr>
                <w:rFonts w:ascii="Calibri" w:cs="Calibri" w:eastAsia="Calibri" w:hAnsi="Calibri"/>
                <w:sz w:val="18"/>
                <w:szCs w:val="18"/>
              </w:rPr>
              <w:t xml:space="preserve">Gap: the platform team owns what enters the registry</w:t>
            </w:r>
          </w:p>
        </w:tc>
      </w:tr>
      <w:tr>
        <w:trPr>
          <w:cantSplit/>
          <w:tblHeader w:val="false"/>
        </w:trPr>
        <w:tc>
          <w:tcPr>
            <w:tcW w:type="dxa" w:w="1990"/>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ASI05 Unexpected Code Execution</w:t>
            </w:r>
          </w:p>
        </w:tc>
        <w:tc>
          <w:tcPr>
            <w:tcW w:type="dxa" w:w="311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 drafting request triggers code or commands</w:t>
            </w:r>
          </w:p>
        </w:tc>
        <w:tc>
          <w:tcPr>
            <w:tcW w:type="dxa" w:w="426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No code or shell tools for any launch agent</w:t>
            </w:r>
          </w:p>
        </w:tc>
      </w:tr>
      <w:tr>
        <w:trPr>
          <w:cantSplit/>
          <w:tblHeader w:val="false"/>
        </w:trPr>
        <w:tc>
          <w:tcPr>
            <w:tcW w:type="dxa" w:w="1990"/>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ASI06 Memory &amp; Context Poisoning</w:t>
            </w:r>
          </w:p>
        </w:tc>
        <w:tc>
          <w:tcPr>
            <w:tcW w:type="dxa" w:w="311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Wrong entity data leads to a missed conflict</w:t>
            </w:r>
          </w:p>
        </w:tc>
        <w:tc>
          <w:tcPr>
            <w:tcW w:type="dxa" w:w="4260"/>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Context only from the golden record, the catalog and lineage</w:t>
            </w:r>
          </w:p>
          <w:p>
            <w:pPr>
              <w:spacing w:after="0" w:before="0" w:line="252"/>
            </w:pPr>
            <w:r>
              <w:rPr>
                <w:rFonts w:ascii="Calibri" w:cs="Calibri" w:eastAsia="Calibri" w:hAnsi="Calibri"/>
                <w:sz w:val="18"/>
                <w:szCs w:val="18"/>
              </w:rPr>
              <w:t xml:space="preserve">Quality rules on the client hierarchy</w:t>
            </w:r>
          </w:p>
        </w:tc>
      </w:tr>
      <w:tr>
        <w:trPr>
          <w:cantSplit/>
          <w:tblHeader w:val="false"/>
        </w:trPr>
        <w:tc>
          <w:tcPr>
            <w:tcW w:type="dxa" w:w="1990"/>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ASI07 Insecure Inter-Agent Communication</w:t>
            </w:r>
          </w:p>
        </w:tc>
        <w:tc>
          <w:tcPr>
            <w:tcW w:type="dxa" w:w="311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 spoofed agent asks the orchestrator for independence findings</w:t>
            </w:r>
          </w:p>
        </w:tc>
        <w:tc>
          <w:tcPr>
            <w:tcW w:type="dxa" w:w="4260"/>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Signed agent cards</w:t>
            </w:r>
          </w:p>
          <w:p>
            <w:pPr>
              <w:spacing w:after="80" w:before="0" w:line="252"/>
            </w:pPr>
            <w:r>
              <w:rPr>
                <w:rFonts w:ascii="Calibri" w:cs="Calibri" w:eastAsia="Calibri" w:hAnsi="Calibri"/>
                <w:sz w:val="18"/>
                <w:szCs w:val="18"/>
              </w:rPr>
              <w:t xml:space="preserve">mTLS plus OAuth on every A2A call</w:t>
            </w:r>
          </w:p>
          <w:p>
            <w:pPr>
              <w:spacing w:after="0" w:before="0" w:line="252"/>
            </w:pPr>
            <w:r>
              <w:rPr>
                <w:rFonts w:ascii="Calibri" w:cs="Calibri" w:eastAsia="Calibri" w:hAnsi="Calibri"/>
                <w:sz w:val="18"/>
                <w:szCs w:val="18"/>
              </w:rPr>
              <w:t xml:space="preserve">Only registered agents may call each other</w:t>
            </w:r>
          </w:p>
        </w:tc>
      </w:tr>
      <w:tr>
        <w:trPr>
          <w:cantSplit/>
          <w:tblHeader w:val="false"/>
        </w:trPr>
        <w:tc>
          <w:tcPr>
            <w:tcW w:type="dxa" w:w="1990"/>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ASI08 Cascading Failures</w:t>
            </w:r>
          </w:p>
        </w:tc>
        <w:tc>
          <w:tcPr>
            <w:tcW w:type="dxa" w:w="311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 bad hierarchy update spreads to every launch that day</w:t>
            </w:r>
          </w:p>
        </w:tc>
        <w:tc>
          <w:tcPr>
            <w:tcW w:type="dxa" w:w="4260"/>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Propose-only on stale master data</w:t>
            </w:r>
          </w:p>
          <w:p>
            <w:pPr>
              <w:spacing w:after="80" w:before="0" w:line="252"/>
            </w:pPr>
            <w:r>
              <w:rPr>
                <w:rFonts w:ascii="Calibri" w:cs="Calibri" w:eastAsia="Calibri" w:hAnsi="Calibri"/>
                <w:sz w:val="18"/>
                <w:szCs w:val="18"/>
              </w:rPr>
              <w:t xml:space="preserve">Per-launch limits</w:t>
            </w:r>
          </w:p>
          <w:p>
            <w:pPr>
              <w:spacing w:after="0" w:before="0" w:line="252"/>
            </w:pPr>
            <w:r>
              <w:rPr>
                <w:rFonts w:ascii="Calibri" w:cs="Calibri" w:eastAsia="Calibri" w:hAnsi="Calibri"/>
                <w:sz w:val="18"/>
                <w:szCs w:val="18"/>
              </w:rPr>
              <w:t xml:space="preserve">The kill switch</w:t>
            </w:r>
          </w:p>
        </w:tc>
      </w:tr>
      <w:tr>
        <w:trPr>
          <w:cantSplit/>
          <w:tblHeader w:val="false"/>
        </w:trPr>
        <w:tc>
          <w:tcPr>
            <w:tcW w:type="dxa" w:w="1990"/>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ASI09 Human-Agent Trust Exploitation</w:t>
            </w:r>
          </w:p>
        </w:tc>
        <w:tc>
          <w:tcPr>
            <w:tcW w:type="dxa" w:w="311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 polished summary leads a reviewer or partner to approve without reading</w:t>
            </w:r>
          </w:p>
        </w:tc>
        <w:tc>
          <w:tcPr>
            <w:tcW w:type="dxa" w:w="4260"/>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Findings shown with evidence and lineage</w:t>
            </w:r>
          </w:p>
          <w:p>
            <w:pPr>
              <w:spacing w:after="80" w:before="0" w:line="252"/>
            </w:pPr>
            <w:r>
              <w:rPr>
                <w:rFonts w:ascii="Calibri" w:cs="Calibri" w:eastAsia="Calibri" w:hAnsi="Calibri"/>
                <w:sz w:val="18"/>
                <w:szCs w:val="18"/>
              </w:rPr>
              <w:t xml:space="preserve">Approver training</w:t>
            </w:r>
          </w:p>
          <w:p>
            <w:pPr>
              <w:spacing w:after="80" w:before="0" w:line="252"/>
            </w:pPr>
            <w:r>
              <w:rPr>
                <w:rFonts w:ascii="Calibri" w:cs="Calibri" w:eastAsia="Calibri" w:hAnsi="Calibri"/>
                <w:sz w:val="18"/>
                <w:szCs w:val="18"/>
              </w:rPr>
              <w:t xml:space="preserve">Verification latency watched</w:t>
            </w:r>
          </w:p>
          <w:p>
            <w:pPr>
              <w:spacing w:after="0" w:before="0" w:line="252"/>
            </w:pPr>
            <w:r>
              <w:rPr>
                <w:rFonts w:ascii="Calibri" w:cs="Calibri" w:eastAsia="Calibri" w:hAnsi="Calibri"/>
                <w:sz w:val="18"/>
                <w:szCs w:val="18"/>
              </w:rPr>
              <w:t xml:space="preserve">Gap: Risk &amp; Quality owns what reviewers are shown</w:t>
            </w:r>
          </w:p>
        </w:tc>
      </w:tr>
      <w:tr>
        <w:trPr>
          <w:cantSplit/>
          <w:tblHeader w:val="false"/>
        </w:trPr>
        <w:tc>
          <w:tcPr>
            <w:tcW w:type="dxa" w:w="1990"/>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ASI10 Rogue Agents</w:t>
            </w:r>
          </w:p>
        </w:tc>
        <w:tc>
          <w:tcPr>
            <w:tcW w:type="dxa" w:w="311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An unregistered agent calls SAP or the independence system</w:t>
            </w:r>
          </w:p>
        </w:tc>
        <w:tc>
          <w:tcPr>
            <w:tcW w:type="dxa" w:w="4260"/>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Agent Scanners and the registry</w:t>
            </w:r>
          </w:p>
          <w:p>
            <w:pPr>
              <w:spacing w:after="80" w:before="0" w:line="252"/>
            </w:pPr>
            <w:r>
              <w:rPr>
                <w:rFonts w:ascii="Calibri" w:cs="Calibri" w:eastAsia="Calibri" w:hAnsi="Calibri"/>
                <w:sz w:val="18"/>
                <w:szCs w:val="18"/>
              </w:rPr>
              <w:t xml:space="preserve">Decoy tools</w:t>
            </w:r>
          </w:p>
          <w:p>
            <w:pPr>
              <w:spacing w:after="0" w:before="0" w:line="252"/>
            </w:pPr>
            <w:r>
              <w:rPr>
                <w:rFonts w:ascii="Calibri" w:cs="Calibri" w:eastAsia="Calibri" w:hAnsi="Calibri"/>
                <w:sz w:val="18"/>
                <w:szCs w:val="18"/>
              </w:rPr>
              <w:t xml:space="preserve">Gateway-only access to systems of record</w:t>
            </w:r>
          </w:p>
        </w:tc>
      </w:tr>
    </w:tbl>
    <w:p>
      <w:pPr>
        <w:spacing w:after="120"/>
      </w:pPr>
    </w:p>
    <w:p>
      <w:pPr>
        <w:pStyle w:val="Heading3"/>
        <w:keepNext/>
      </w:pPr>
      <w:r>
        <w:rPr>
          <w:rFonts w:ascii="Calibri" w:cs="Calibri" w:eastAsia="Calibri" w:hAnsi="Calibri"/>
        </w:rPr>
        <w:t xml:space="preserve">Compliance and evidence</w:t>
      </w:r>
    </w:p>
    <w:tbl>
      <w:tblPr>
        <w:tblW w:type="dxa" w:w="9360"/>
        <w:tblBorders>
          <w:top w:val="single" w:color="CBD5E1" w:sz="4"/>
          <w:left w:val="single" w:color="CBD5E1" w:sz="4"/>
          <w:bottom w:val="single" w:color="CBD5E1" w:sz="4"/>
          <w:right w:val="single" w:color="CBD5E1" w:sz="4"/>
          <w:insideH w:val="single" w:color="CBD5E1" w:sz="4"/>
          <w:insideV w:val="single" w:color="CBD5E1" w:sz="4"/>
        </w:tblBorders>
        <w:tblLayout w:type="fixed"/>
      </w:tblPr>
      <w:tblGrid>
        <w:gridCol w:w="2219"/>
        <w:gridCol w:w="3003"/>
        <w:gridCol w:w="2883"/>
        <w:gridCol w:w="1255"/>
      </w:tblGrid>
      <w:tr>
        <w:trPr>
          <w:cantSplit/>
          <w:tblHeader/>
        </w:trPr>
        <w:tc>
          <w:tcPr>
            <w:tcW w:type="dxa" w:w="2219"/>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Obligation</w:t>
            </w:r>
          </w:p>
        </w:tc>
        <w:tc>
          <w:tcPr>
            <w:tcW w:type="dxa" w:w="3003"/>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Evidence required</w:t>
            </w:r>
          </w:p>
        </w:tc>
        <w:tc>
          <w:tcPr>
            <w:tcW w:type="dxa" w:w="2883"/>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Where it is produced</w:t>
            </w:r>
          </w:p>
        </w:tc>
        <w:tc>
          <w:tcPr>
            <w:tcW w:type="dxa" w:w="1255"/>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Owner</w:t>
            </w:r>
          </w:p>
        </w:tc>
      </w:tr>
      <w:tr>
        <w:trPr>
          <w:cantSplit/>
          <w:tblHeader w:val="false"/>
        </w:trPr>
        <w:tc>
          <w:tcPr>
            <w:tcW w:type="dxa" w:w="2219"/>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Auditor-independence rules</w:t>
            </w:r>
            <w:hyperlink w:history="1" w:anchor="en_89">
              <w:r>
                <w:rPr>
                  <w:rFonts w:ascii="Calibri" w:cs="Calibri" w:eastAsia="Calibri" w:hAnsi="Calibri"/>
                  <w:color w:val="0369A1"/>
                  <w:sz w:val="18"/>
                  <w:szCs w:val="18"/>
                  <w:vertAlign w:val="superscript"/>
                </w:rPr>
                <w:t xml:space="preserve">89</w:t>
              </w:r>
            </w:hyperlink>
          </w:p>
        </w:tc>
        <w:tc>
          <w:tcPr>
            <w:tcW w:type="dxa" w:w="3003"/>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Independence cleared before work starts, with the findings and the reviewer’s decision</w:t>
            </w:r>
          </w:p>
        </w:tc>
        <w:tc>
          <w:tcPr>
            <w:tcW w:type="dxa" w:w="2883"/>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Independence system</w:t>
            </w:r>
          </w:p>
          <w:p>
            <w:pPr>
              <w:spacing w:after="0" w:before="0" w:line="252"/>
            </w:pPr>
            <w:r>
              <w:rPr>
                <w:rFonts w:ascii="Calibri" w:cs="Calibri" w:eastAsia="Calibri" w:hAnsi="Calibri"/>
                <w:sz w:val="18"/>
                <w:szCs w:val="18"/>
              </w:rPr>
              <w:t xml:space="preserve">Decision log with lineage</w:t>
            </w:r>
          </w:p>
        </w:tc>
        <w:tc>
          <w:tcPr>
            <w:tcW w:type="dxa" w:w="1255"/>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Risk &amp; Quality</w:t>
            </w:r>
          </w:p>
        </w:tc>
      </w:tr>
      <w:tr>
        <w:trPr>
          <w:cantSplit/>
          <w:tblHeader w:val="false"/>
        </w:trPr>
        <w:tc>
          <w:tcPr>
            <w:tcW w:type="dxa" w:w="2219"/>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Professional-standards documentation</w:t>
            </w:r>
          </w:p>
        </w:tc>
        <w:tc>
          <w:tcPr>
            <w:tcW w:type="dxa" w:w="3003"/>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Retained evidence for inspections</w:t>
            </w:r>
          </w:p>
        </w:tc>
        <w:tc>
          <w:tcPr>
            <w:tcW w:type="dxa" w:w="2883"/>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Tamper-evident audit logs</w:t>
            </w:r>
          </w:p>
          <w:p>
            <w:pPr>
              <w:spacing w:after="0" w:before="0" w:line="252"/>
            </w:pPr>
            <w:r>
              <w:rPr>
                <w:rFonts w:ascii="Calibri" w:cs="Calibri" w:eastAsia="Calibri" w:hAnsi="Calibri"/>
                <w:sz w:val="18"/>
                <w:szCs w:val="18"/>
              </w:rPr>
              <w:t xml:space="preserve">Document management</w:t>
            </w:r>
          </w:p>
        </w:tc>
        <w:tc>
          <w:tcPr>
            <w:tcW w:type="dxa" w:w="1255"/>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Risk &amp; Quality</w:t>
            </w:r>
          </w:p>
        </w:tc>
      </w:tr>
      <w:tr>
        <w:trPr>
          <w:cantSplit/>
          <w:tblHeader w:val="false"/>
        </w:trPr>
        <w:tc>
          <w:tcPr>
            <w:tcW w:type="dxa" w:w="2219"/>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Data protection</w:t>
            </w:r>
          </w:p>
        </w:tc>
        <w:tc>
          <w:tcPr>
            <w:tcW w:type="dxa" w:w="3003"/>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Personal data masked</w:t>
            </w:r>
          </w:p>
          <w:p>
            <w:pPr>
              <w:spacing w:after="0" w:before="0" w:line="252"/>
            </w:pPr>
            <w:r>
              <w:rPr>
                <w:rFonts w:ascii="Calibri" w:cs="Calibri" w:eastAsia="Calibri" w:hAnsi="Calibri"/>
                <w:sz w:val="18"/>
                <w:szCs w:val="18"/>
              </w:rPr>
              <w:t xml:space="preserve">Personal financial interests protected</w:t>
            </w:r>
          </w:p>
        </w:tc>
        <w:tc>
          <w:tcPr>
            <w:tcW w:type="dxa" w:w="2883"/>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AI Gateway masking</w:t>
            </w:r>
          </w:p>
          <w:p>
            <w:pPr>
              <w:spacing w:after="0" w:before="0" w:line="252"/>
            </w:pPr>
            <w:r>
              <w:rPr>
                <w:rFonts w:ascii="Calibri" w:cs="Calibri" w:eastAsia="Calibri" w:hAnsi="Calibri"/>
                <w:sz w:val="18"/>
                <w:szCs w:val="18"/>
              </w:rPr>
              <w:t xml:space="preserve">Tokenization in the independence system</w:t>
            </w:r>
          </w:p>
        </w:tc>
        <w:tc>
          <w:tcPr>
            <w:tcW w:type="dxa" w:w="1255"/>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Privacy officer</w:t>
            </w:r>
          </w:p>
        </w:tc>
      </w:tr>
      <w:tr>
        <w:trPr>
          <w:cantSplit/>
          <w:tblHeader w:val="false"/>
        </w:trPr>
        <w:tc>
          <w:tcPr>
            <w:tcW w:type="dxa" w:w="2219"/>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AI governance standards the firm reports against (ISO/IEC 42001; NIST AI RMF)</w:t>
            </w:r>
            <w:hyperlink w:history="1" w:anchor="en_72">
              <w:r>
                <w:rPr>
                  <w:rFonts w:ascii="Calibri" w:cs="Calibri" w:eastAsia="Calibri" w:hAnsi="Calibri"/>
                  <w:color w:val="0369A1"/>
                  <w:sz w:val="18"/>
                  <w:szCs w:val="18"/>
                  <w:vertAlign w:val="superscript"/>
                </w:rPr>
                <w:t xml:space="preserve">72</w:t>
              </w:r>
            </w:hyperlink>
            <w:r>
              <w:rPr>
                <w:rFonts w:ascii="Calibri" w:cs="Calibri" w:eastAsia="Calibri" w:hAnsi="Calibri"/>
                <w:sz w:val="18"/>
                <w:szCs w:val="18"/>
                <w:vertAlign w:val="superscript"/>
              </w:rPr>
              <w:t xml:space="preserve">,</w:t>
            </w:r>
            <w:hyperlink w:history="1" w:anchor="en_73">
              <w:r>
                <w:rPr>
                  <w:rFonts w:ascii="Calibri" w:cs="Calibri" w:eastAsia="Calibri" w:hAnsi="Calibri"/>
                  <w:color w:val="0369A1"/>
                  <w:sz w:val="18"/>
                  <w:szCs w:val="18"/>
                  <w:vertAlign w:val="superscript"/>
                </w:rPr>
                <w:t xml:space="preserve">73</w:t>
              </w:r>
            </w:hyperlink>
          </w:p>
        </w:tc>
        <w:tc>
          <w:tcPr>
            <w:tcW w:type="dxa" w:w="3003"/>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Inventory, risk tiers, impact assessments, evaluation and monitoring records</w:t>
            </w:r>
          </w:p>
        </w:tc>
        <w:tc>
          <w:tcPr>
            <w:tcW w:type="dxa" w:w="2883"/>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Agent Registry, evaluation records and audit logs (handbook </w:t>
            </w:r>
            <w:hyperlink w:history="1" r:id="rIdgsxwa_wr8fj2gmq2ry-jb">
              <w:r>
                <w:rPr>
                  <w:rFonts w:ascii="Calibri" w:cs="Calibri" w:eastAsia="Calibri" w:hAnsi="Calibri"/>
                  <w:color w:val="0369A1"/>
                  <w:sz w:val="18"/>
                  <w:szCs w:val="18"/>
                  <w:u w:val="single"/>
                </w:rPr>
                <w:t xml:space="preserve">Appendix C</w:t>
              </w:r>
            </w:hyperlink>
            <w:r>
              <w:rPr>
                <w:rFonts w:ascii="Calibri" w:cs="Calibri" w:eastAsia="Calibri" w:hAnsi="Calibri"/>
                <w:sz w:val="18"/>
                <w:szCs w:val="18"/>
              </w:rPr>
              <w:t xml:space="preserve"> maps the controls)</w:t>
            </w:r>
          </w:p>
        </w:tc>
        <w:tc>
          <w:tcPr>
            <w:tcW w:type="dxa" w:w="1255"/>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AI governance council</w:t>
            </w:r>
          </w:p>
        </w:tc>
      </w:tr>
    </w:tbl>
    <w:p>
      <w:pPr>
        <w:spacing w:after="120"/>
      </w:pPr>
    </w:p>
    <w:tbl>
      <w:tblPr>
        <w:tblW w:type="dxa" w:w="9360"/>
        <w:tblBorders>
          <w:top w:val="single" w:color="CBD5E1" w:sz="4"/>
          <w:left w:val="single" w:color="CBD5E1" w:sz="4"/>
          <w:bottom w:val="single" w:color="CBD5E1" w:sz="4"/>
          <w:right w:val="single" w:color="CBD5E1" w:sz="4"/>
          <w:insideH w:val="single" w:color="CBD5E1" w:sz="4"/>
          <w:insideV w:val="single" w:color="CBD5E1" w:sz="4"/>
        </w:tblBorders>
        <w:tblLayout w:type="fixed"/>
      </w:tblPr>
      <w:tblGrid>
        <w:gridCol w:w="9360"/>
      </w:tblGrid>
      <w:tr>
        <w:trPr>
          <w:cantSplit/>
        </w:trPr>
        <w:tc>
          <w:tcPr>
            <w:tcW w:type="dxa" w:w="9360"/>
            <w:shd w:fill="F1F5F9" w:color="auto" w:val="clear"/>
            <w:tcMar>
              <w:top w:type="dxa" w:w="140"/>
              <w:left w:type="dxa" w:w="200"/>
              <w:bottom w:type="dxa" w:w="140"/>
              <w:right w:type="dxa" w:w="200"/>
            </w:tcMar>
          </w:tcPr>
          <w:p>
            <w:pPr>
              <w:spacing w:after="100"/>
            </w:pPr>
            <w:r>
              <w:rPr>
                <w:rFonts w:ascii="Calibri" w:cs="Calibri" w:eastAsia="Calibri" w:hAnsi="Calibri"/>
                <w:b/>
                <w:bCs/>
                <w:color w:val="1E293B"/>
                <w:sz w:val="22"/>
                <w:szCs w:val="22"/>
              </w:rPr>
              <w:t xml:space="preserve">Why it is filled this way</w:t>
            </w:r>
          </w:p>
          <w:p>
            <w:pPr>
              <w:spacing w:after="80"/>
            </w:pPr>
            <w:r>
              <w:rPr>
                <w:rFonts w:ascii="Calibri" w:cs="Calibri" w:eastAsia="Calibri" w:hAnsi="Calibri"/>
                <w:sz w:val="20"/>
                <w:szCs w:val="20"/>
              </w:rPr>
              <w:t xml:space="preserve">Only one agent writes to a system of record, and only under three conditions: independence cleared, the partner’s bound approval and a signed letter. Every other agent reads, drafts or proposes.</w:t>
            </w:r>
          </w:p>
          <w:p>
            <w:pPr>
              <w:spacing w:after="80"/>
            </w:pPr>
            <w:r>
              <w:rPr>
                <w:rFonts w:ascii="Calibri" w:cs="Calibri" w:eastAsia="Calibri" w:hAnsi="Calibri"/>
                <w:sz w:val="20"/>
                <w:szCs w:val="20"/>
              </w:rPr>
              <w:t xml:space="preserve">Under data minimization, the staffing agent sees a yes or no clearance flag and never the personal financial interests behind it, which keeps sensitive data where it belongs.</w:t>
            </w:r>
          </w:p>
          <w:p>
            <w:pPr>
              <w:spacing w:after="80"/>
            </w:pPr>
            <w:r>
              <w:rPr>
                <w:rFonts w:ascii="Calibri" w:cs="Calibri" w:eastAsia="Calibri" w:hAnsi="Calibri"/>
                <w:sz w:val="20"/>
                <w:szCs w:val="20"/>
              </w:rPr>
              <w:t xml:space="preserve">Most controls are phase 1 because security starts on day one, while autonomy is phased in later.</w:t>
            </w:r>
          </w:p>
          <w:p>
            <w:pPr>
              <w:spacing w:after="80"/>
            </w:pPr>
            <w:r>
              <w:rPr>
                <w:rFonts w:ascii="Calibri" w:cs="Calibri" w:eastAsia="Calibri" w:hAnsi="Calibri"/>
                <w:sz w:val="20"/>
                <w:szCs w:val="20"/>
              </w:rPr>
              <w:t xml:space="preserve">The setup agent earns tier 3 on evidence: a quarter of proposed setups that match the partners’ approvals. It drops back automatically if a binding check fails or independence status changes, and finance can take over its open launches within a business day.</w:t>
            </w:r>
          </w:p>
          <w:p>
            <w:pPr>
              <w:spacing w:after="80"/>
            </w:pPr>
            <w:r>
              <w:rPr>
                <w:rFonts w:ascii="Calibri" w:cs="Calibri" w:eastAsia="Calibri" w:hAnsi="Calibri"/>
                <w:sz w:val="20"/>
                <w:szCs w:val="20"/>
              </w:rPr>
              <w:t xml:space="preserve">The threat table shows coverage and the two gaps that need named owners: what enters the registry (the platform team) and what reviewers are shown (Risk &amp; Quality).</w:t>
            </w:r>
          </w:p>
        </w:tc>
      </w:tr>
    </w:tbl>
    <w:p>
      <w:pPr>
        <w:spacing w:after="120"/>
      </w:pPr>
    </w:p>
    <w:p>
      <w:pPr>
        <w:pStyle w:val="Heading2"/>
        <w:keepNext/>
        <w:pageBreakBefore/>
      </w:pPr>
      <w:bookmarkStart w:name="p2_T6" w:id="22"/>
      <w:r>
        <w:rPr>
          <w:rFonts w:ascii="Calibri" w:cs="Calibri" w:eastAsia="Calibri" w:hAnsi="Calibri"/>
        </w:rPr>
        <w:t xml:space="preserve">T6 filled: KPIs and scorecard</w:t>
      </w:r>
      <w:bookmarkEnd w:id="22"/>
    </w:p>
    <w:tbl>
      <w:tblPr>
        <w:tblW w:type="dxa" w:w="9360"/>
        <w:tblBorders>
          <w:top w:val="single" w:color="CBD5E1" w:sz="4"/>
          <w:left w:val="single" w:color="CBD5E1" w:sz="4"/>
          <w:bottom w:val="single" w:color="CBD5E1" w:sz="4"/>
          <w:right w:val="single" w:color="CBD5E1" w:sz="4"/>
          <w:insideH w:val="single" w:color="CBD5E1" w:sz="4"/>
          <w:insideV w:val="single" w:color="CBD5E1" w:sz="4"/>
        </w:tblBorders>
        <w:tblLayout w:type="fixed"/>
      </w:tblPr>
      <w:tblGrid>
        <w:gridCol w:w="2139"/>
        <w:gridCol w:w="3887"/>
        <w:gridCol w:w="1911"/>
        <w:gridCol w:w="1423"/>
      </w:tblGrid>
      <w:tr>
        <w:trPr>
          <w:cantSplit/>
          <w:tblHeader/>
        </w:trPr>
        <w:tc>
          <w:tcPr>
            <w:tcW w:type="dxa" w:w="2139"/>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KPI</w:t>
            </w:r>
          </w:p>
        </w:tc>
        <w:tc>
          <w:tcPr>
            <w:tcW w:type="dxa" w:w="3887"/>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Definition</w:t>
            </w:r>
          </w:p>
        </w:tc>
        <w:tc>
          <w:tcPr>
            <w:tcW w:type="dxa" w:w="1911"/>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Data source</w:t>
            </w:r>
          </w:p>
        </w:tc>
        <w:tc>
          <w:tcPr>
            <w:tcW w:type="dxa" w:w="1423"/>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Owner</w:t>
            </w:r>
          </w:p>
        </w:tc>
      </w:tr>
      <w:tr>
        <w:trPr>
          <w:cantSplit/>
          <w:tblHeader w:val="false"/>
        </w:trPr>
        <w:tc>
          <w:tcPr>
            <w:tcW w:type="dxa" w:w="2139"/>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Win-to-ready-to-charge</w:t>
            </w:r>
          </w:p>
        </w:tc>
        <w:tc>
          <w:tcPr>
            <w:tcW w:type="dxa" w:w="3887"/>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Business days from verbal win to active charge codes</w:t>
            </w:r>
          </w:p>
        </w:tc>
        <w:tc>
          <w:tcPr>
            <w:tcW w:type="dxa" w:w="1911"/>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CRM and SAP timestamps</w:t>
            </w:r>
          </w:p>
        </w:tc>
        <w:tc>
          <w:tcPr>
            <w:tcW w:type="dxa" w:w="1423"/>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Business owner</w:t>
            </w:r>
          </w:p>
        </w:tc>
      </w:tr>
      <w:tr>
        <w:trPr>
          <w:cantSplit/>
          <w:tblHeader w:val="false"/>
        </w:trPr>
        <w:tc>
          <w:tcPr>
            <w:tcW w:type="dxa" w:w="2139"/>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Manual effort per launch</w:t>
            </w:r>
          </w:p>
        </w:tc>
        <w:tc>
          <w:tcPr>
            <w:tcW w:type="dxa" w:w="3887"/>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Hours across all roles to launch one engagement</w:t>
            </w:r>
          </w:p>
        </w:tc>
        <w:tc>
          <w:tcPr>
            <w:tcW w:type="dxa" w:w="1911"/>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Time study</w:t>
            </w:r>
          </w:p>
          <w:p>
            <w:pPr>
              <w:spacing w:after="0" w:before="0" w:line="252"/>
            </w:pPr>
            <w:r>
              <w:rPr>
                <w:rFonts w:ascii="Calibri" w:cs="Calibri" w:eastAsia="Calibri" w:hAnsi="Calibri"/>
                <w:sz w:val="18"/>
                <w:szCs w:val="18"/>
              </w:rPr>
              <w:t xml:space="preserve">Activity logs</w:t>
            </w:r>
          </w:p>
        </w:tc>
        <w:tc>
          <w:tcPr>
            <w:tcW w:type="dxa" w:w="1423"/>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Business owner</w:t>
            </w:r>
          </w:p>
        </w:tc>
      </w:tr>
      <w:tr>
        <w:trPr>
          <w:cantSplit/>
          <w:tblHeader w:val="false"/>
        </w:trPr>
        <w:tc>
          <w:tcPr>
            <w:tcW w:type="dxa" w:w="2139"/>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Independence cleared before start</w:t>
            </w:r>
          </w:p>
        </w:tc>
        <w:tc>
          <w:tcPr>
            <w:tcW w:type="dxa" w:w="3887"/>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Share of engagements cleared before any work begins</w:t>
            </w:r>
          </w:p>
        </w:tc>
        <w:tc>
          <w:tcPr>
            <w:tcW w:type="dxa" w:w="1911"/>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Independence system</w:t>
            </w:r>
          </w:p>
          <w:p>
            <w:pPr>
              <w:spacing w:after="0" w:before="0" w:line="252"/>
            </w:pPr>
            <w:r>
              <w:rPr>
                <w:rFonts w:ascii="Calibri" w:cs="Calibri" w:eastAsia="Calibri" w:hAnsi="Calibri"/>
                <w:sz w:val="18"/>
                <w:szCs w:val="18"/>
              </w:rPr>
              <w:t xml:space="preserve">SAP</w:t>
            </w:r>
          </w:p>
        </w:tc>
        <w:tc>
          <w:tcPr>
            <w:tcW w:type="dxa" w:w="1423"/>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Risk &amp; Quality</w:t>
            </w:r>
          </w:p>
        </w:tc>
      </w:tr>
      <w:tr>
        <w:trPr>
          <w:cantSplit/>
          <w:tblHeader w:val="false"/>
        </w:trPr>
        <w:tc>
          <w:tcPr>
            <w:tcW w:type="dxa" w:w="2139"/>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Post-start independence exceptions</w:t>
            </w:r>
          </w:p>
        </w:tc>
        <w:tc>
          <w:tcPr>
            <w:tcW w:type="dxa" w:w="3887"/>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Exceptions found after work begins, per 1,000 engagements</w:t>
            </w:r>
          </w:p>
        </w:tc>
        <w:tc>
          <w:tcPr>
            <w:tcW w:type="dxa" w:w="1911"/>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Independence system</w:t>
            </w:r>
          </w:p>
        </w:tc>
        <w:tc>
          <w:tcPr>
            <w:tcW w:type="dxa" w:w="1423"/>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Risk &amp; Quality</w:t>
            </w:r>
          </w:p>
        </w:tc>
      </w:tr>
      <w:tr>
        <w:trPr>
          <w:cantSplit/>
          <w:tblHeader w:val="false"/>
        </w:trPr>
        <w:tc>
          <w:tcPr>
            <w:tcW w:type="dxa" w:w="2139"/>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First-time-right setup</w:t>
            </w:r>
          </w:p>
        </w:tc>
        <w:tc>
          <w:tcPr>
            <w:tcW w:type="dxa" w:w="3887"/>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SAP projects created without later correction</w:t>
            </w:r>
          </w:p>
        </w:tc>
        <w:tc>
          <w:tcPr>
            <w:tcW w:type="dxa" w:w="1911"/>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SAP change logs</w:t>
            </w:r>
          </w:p>
        </w:tc>
        <w:tc>
          <w:tcPr>
            <w:tcW w:type="dxa" w:w="1423"/>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Finance</w:t>
            </w:r>
          </w:p>
        </w:tc>
      </w:tr>
      <w:tr>
        <w:trPr>
          <w:cantSplit/>
          <w:tblHeader w:val="false"/>
        </w:trPr>
        <w:tc>
          <w:tcPr>
            <w:tcW w:type="dxa" w:w="2139"/>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Staffing within 48 hours</w:t>
            </w:r>
          </w:p>
        </w:tc>
        <w:tc>
          <w:tcPr>
            <w:tcW w:type="dxa" w:w="3887"/>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Roles confirmed within 48 hours of verbal win</w:t>
            </w:r>
          </w:p>
        </w:tc>
        <w:tc>
          <w:tcPr>
            <w:tcW w:type="dxa" w:w="1911"/>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Workday</w:t>
            </w:r>
          </w:p>
          <w:p>
            <w:pPr>
              <w:spacing w:after="0" w:before="0" w:line="252"/>
            </w:pPr>
            <w:r>
              <w:rPr>
                <w:rFonts w:ascii="Calibri" w:cs="Calibri" w:eastAsia="Calibri" w:hAnsi="Calibri"/>
                <w:sz w:val="18"/>
                <w:szCs w:val="18"/>
              </w:rPr>
              <w:t xml:space="preserve">CRM</w:t>
            </w:r>
          </w:p>
        </w:tc>
        <w:tc>
          <w:tcPr>
            <w:tcW w:type="dxa" w:w="1423"/>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Talent</w:t>
            </w:r>
          </w:p>
        </w:tc>
      </w:tr>
      <w:tr>
        <w:trPr>
          <w:cantSplit/>
          <w:tblHeader w:val="false"/>
        </w:trPr>
        <w:tc>
          <w:tcPr>
            <w:tcW w:type="dxa" w:w="2139"/>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Agent quality</w:t>
            </w:r>
          </w:p>
        </w:tc>
        <w:tc>
          <w:tcPr>
            <w:tcW w:type="dxa" w:w="3887"/>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Evaluation pass rate for letters and independence summaries</w:t>
            </w:r>
          </w:p>
        </w:tc>
        <w:tc>
          <w:tcPr>
            <w:tcW w:type="dxa" w:w="1911"/>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Evaluation suites</w:t>
            </w:r>
          </w:p>
        </w:tc>
        <w:tc>
          <w:tcPr>
            <w:tcW w:type="dxa" w:w="1423"/>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AI governance council</w:t>
            </w:r>
          </w:p>
        </w:tc>
      </w:tr>
      <w:tr>
        <w:trPr>
          <w:cantSplit/>
          <w:tblHeader w:val="false"/>
        </w:trPr>
        <w:tc>
          <w:tcPr>
            <w:tcW w:type="dxa" w:w="2139"/>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Governed AI traffic</w:t>
            </w:r>
          </w:p>
        </w:tc>
        <w:tc>
          <w:tcPr>
            <w:tcW w:type="dxa" w:w="3887"/>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Share of model and tool calls through the AI gateway</w:t>
            </w:r>
          </w:p>
        </w:tc>
        <w:tc>
          <w:tcPr>
            <w:tcW w:type="dxa" w:w="1911"/>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AI Gateway</w:t>
            </w:r>
          </w:p>
        </w:tc>
        <w:tc>
          <w:tcPr>
            <w:tcW w:type="dxa" w:w="1423"/>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Platform owner</w:t>
            </w:r>
          </w:p>
        </w:tc>
      </w:tr>
      <w:tr>
        <w:trPr>
          <w:cantSplit/>
          <w:tblHeader w:val="false"/>
        </w:trPr>
        <w:tc>
          <w:tcPr>
            <w:tcW w:type="dxa" w:w="2139"/>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AI cost per launch</w:t>
            </w:r>
          </w:p>
        </w:tc>
        <w:tc>
          <w:tcPr>
            <w:tcW w:type="dxa" w:w="3887"/>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Model and platform cost per engagement launched</w:t>
            </w:r>
          </w:p>
        </w:tc>
        <w:tc>
          <w:tcPr>
            <w:tcW w:type="dxa" w:w="1911"/>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LLM Governance</w:t>
            </w:r>
          </w:p>
          <w:p>
            <w:pPr>
              <w:spacing w:after="0" w:before="0" w:line="252"/>
            </w:pPr>
            <w:r>
              <w:rPr>
                <w:rFonts w:ascii="Calibri" w:cs="Calibri" w:eastAsia="Calibri" w:hAnsi="Calibri"/>
                <w:sz w:val="18"/>
                <w:szCs w:val="18"/>
              </w:rPr>
              <w:t xml:space="preserve">Finance</w:t>
            </w:r>
          </w:p>
        </w:tc>
        <w:tc>
          <w:tcPr>
            <w:tcW w:type="dxa" w:w="1423"/>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Finance</w:t>
            </w:r>
          </w:p>
        </w:tc>
      </w:tr>
      <w:tr>
        <w:trPr>
          <w:cantSplit/>
          <w:tblHeader w:val="false"/>
        </w:trPr>
        <w:tc>
          <w:tcPr>
            <w:tcW w:type="dxa" w:w="2139"/>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AI cost visibility</w:t>
            </w:r>
          </w:p>
        </w:tc>
        <w:tc>
          <w:tcPr>
            <w:tcW w:type="dxa" w:w="3887"/>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Share of AI spend for launches attributed to an engagement and its cost center within a day</w:t>
            </w:r>
          </w:p>
        </w:tc>
        <w:tc>
          <w:tcPr>
            <w:tcW w:type="dxa" w:w="1911"/>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AI Gateway</w:t>
            </w:r>
          </w:p>
          <w:p>
            <w:pPr>
              <w:spacing w:after="0" w:before="0" w:line="252"/>
            </w:pPr>
            <w:r>
              <w:rPr>
                <w:rFonts w:ascii="Calibri" w:cs="Calibri" w:eastAsia="Calibri" w:hAnsi="Calibri"/>
                <w:sz w:val="18"/>
                <w:szCs w:val="18"/>
              </w:rPr>
              <w:t xml:space="preserve">LLM Governance</w:t>
            </w:r>
          </w:p>
        </w:tc>
        <w:tc>
          <w:tcPr>
            <w:tcW w:type="dxa" w:w="1423"/>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Finance</w:t>
            </w:r>
          </w:p>
        </w:tc>
      </w:tr>
    </w:tbl>
    <w:p>
      <w:pPr>
        <w:spacing w:after="120"/>
      </w:pPr>
    </w:p>
    <w:tbl>
      <w:tblPr>
        <w:tblW w:type="dxa" w:w="9360"/>
        <w:tblBorders>
          <w:top w:val="single" w:color="CBD5E1" w:sz="4"/>
          <w:left w:val="single" w:color="CBD5E1" w:sz="4"/>
          <w:bottom w:val="single" w:color="CBD5E1" w:sz="4"/>
          <w:right w:val="single" w:color="CBD5E1" w:sz="4"/>
          <w:insideH w:val="single" w:color="CBD5E1" w:sz="4"/>
          <w:insideV w:val="single" w:color="CBD5E1" w:sz="4"/>
        </w:tblBorders>
        <w:tblLayout w:type="fixed"/>
      </w:tblPr>
      <w:tblGrid>
        <w:gridCol w:w="2423"/>
        <w:gridCol w:w="1240"/>
        <w:gridCol w:w="1837"/>
        <w:gridCol w:w="1508"/>
        <w:gridCol w:w="1174"/>
        <w:gridCol w:w="1178"/>
      </w:tblGrid>
      <w:tr>
        <w:trPr>
          <w:cantSplit/>
          <w:tblHeader/>
        </w:trPr>
        <w:tc>
          <w:tcPr>
            <w:tcW w:type="dxa" w:w="2423"/>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KPI</w:t>
            </w:r>
          </w:p>
        </w:tc>
        <w:tc>
          <w:tcPr>
            <w:tcW w:type="dxa" w:w="1240"/>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Baseline</w:t>
            </w:r>
          </w:p>
        </w:tc>
        <w:tc>
          <w:tcPr>
            <w:tcW w:type="dxa" w:w="1837"/>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Month 3</w:t>
            </w:r>
          </w:p>
        </w:tc>
        <w:tc>
          <w:tcPr>
            <w:tcW w:type="dxa" w:w="1508"/>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Month 8</w:t>
            </w:r>
          </w:p>
        </w:tc>
        <w:tc>
          <w:tcPr>
            <w:tcW w:type="dxa" w:w="1174"/>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Month 12</w:t>
            </w:r>
          </w:p>
        </w:tc>
        <w:tc>
          <w:tcPr>
            <w:tcW w:type="dxa" w:w="1178"/>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Month 24</w:t>
            </w:r>
          </w:p>
        </w:tc>
      </w:tr>
      <w:tr>
        <w:trPr>
          <w:cantSplit/>
          <w:tblHeader w:val="false"/>
        </w:trPr>
        <w:tc>
          <w:tcPr>
            <w:tcW w:type="dxa" w:w="2423"/>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Win-to-ready-to-charge</w:t>
            </w:r>
          </w:p>
        </w:tc>
        <w:tc>
          <w:tcPr>
            <w:tcW w:type="dxa" w:w="12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10 days</w:t>
            </w:r>
          </w:p>
        </w:tc>
        <w:tc>
          <w:tcPr>
            <w:tcW w:type="dxa" w:w="1837"/>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Measure in scope</w:t>
            </w:r>
          </w:p>
        </w:tc>
        <w:tc>
          <w:tcPr>
            <w:tcW w:type="dxa" w:w="150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Measure</w:t>
            </w:r>
          </w:p>
        </w:tc>
        <w:tc>
          <w:tcPr>
            <w:tcW w:type="dxa" w:w="1174"/>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2 days</w:t>
            </w:r>
          </w:p>
        </w:tc>
        <w:tc>
          <w:tcPr>
            <w:tcW w:type="dxa" w:w="1178"/>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2 days</w:t>
            </w:r>
          </w:p>
        </w:tc>
      </w:tr>
      <w:tr>
        <w:trPr>
          <w:cantSplit/>
          <w:tblHeader w:val="false"/>
        </w:trPr>
        <w:tc>
          <w:tcPr>
            <w:tcW w:type="dxa" w:w="2423"/>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Manual effort per launch</w:t>
            </w:r>
          </w:p>
        </w:tc>
        <w:tc>
          <w:tcPr>
            <w:tcW w:type="dxa" w:w="12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14 hours</w:t>
            </w:r>
          </w:p>
        </w:tc>
        <w:tc>
          <w:tcPr>
            <w:tcW w:type="dxa" w:w="1837"/>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About 10 hours in scope</w:t>
            </w:r>
          </w:p>
        </w:tc>
        <w:tc>
          <w:tcPr>
            <w:tcW w:type="dxa" w:w="150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About 8 hours</w:t>
            </w:r>
          </w:p>
        </w:tc>
        <w:tc>
          <w:tcPr>
            <w:tcW w:type="dxa" w:w="1174"/>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5 hours</w:t>
            </w:r>
          </w:p>
        </w:tc>
        <w:tc>
          <w:tcPr>
            <w:tcW w:type="dxa" w:w="1178"/>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5 hours</w:t>
            </w:r>
          </w:p>
        </w:tc>
      </w:tr>
      <w:tr>
        <w:trPr>
          <w:cantSplit/>
          <w:tblHeader w:val="false"/>
        </w:trPr>
        <w:tc>
          <w:tcPr>
            <w:tcW w:type="dxa" w:w="2423"/>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Independence cleared before start</w:t>
            </w:r>
          </w:p>
        </w:tc>
        <w:tc>
          <w:tcPr>
            <w:tcW w:type="dxa" w:w="12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92%</w:t>
            </w:r>
          </w:p>
        </w:tc>
        <w:tc>
          <w:tcPr>
            <w:tcW w:type="dxa" w:w="1837"/>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Measure in scope</w:t>
            </w:r>
          </w:p>
        </w:tc>
        <w:tc>
          <w:tcPr>
            <w:tcW w:type="dxa" w:w="150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Measure</w:t>
            </w:r>
          </w:p>
        </w:tc>
        <w:tc>
          <w:tcPr>
            <w:tcW w:type="dxa" w:w="1174"/>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100%</w:t>
            </w:r>
          </w:p>
        </w:tc>
        <w:tc>
          <w:tcPr>
            <w:tcW w:type="dxa" w:w="1178"/>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100%</w:t>
            </w:r>
          </w:p>
        </w:tc>
      </w:tr>
      <w:tr>
        <w:trPr>
          <w:cantSplit/>
          <w:tblHeader w:val="false"/>
        </w:trPr>
        <w:tc>
          <w:tcPr>
            <w:tcW w:type="dxa" w:w="2423"/>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Post-start independence exceptions</w:t>
            </w:r>
          </w:p>
        </w:tc>
        <w:tc>
          <w:tcPr>
            <w:tcW w:type="dxa" w:w="12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4</w:t>
            </w:r>
          </w:p>
        </w:tc>
        <w:tc>
          <w:tcPr>
            <w:tcW w:type="dxa" w:w="1837"/>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Measure in scope</w:t>
            </w:r>
          </w:p>
        </w:tc>
        <w:tc>
          <w:tcPr>
            <w:tcW w:type="dxa" w:w="150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Measure</w:t>
            </w:r>
          </w:p>
        </w:tc>
        <w:tc>
          <w:tcPr>
            <w:tcW w:type="dxa" w:w="1174"/>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Below 0.5</w:t>
            </w:r>
          </w:p>
        </w:tc>
        <w:tc>
          <w:tcPr>
            <w:tcW w:type="dxa" w:w="1178"/>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Below 0.5</w:t>
            </w:r>
          </w:p>
        </w:tc>
      </w:tr>
      <w:tr>
        <w:trPr>
          <w:cantSplit/>
          <w:tblHeader w:val="false"/>
        </w:trPr>
        <w:tc>
          <w:tcPr>
            <w:tcW w:type="dxa" w:w="2423"/>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First-time-right setup</w:t>
            </w:r>
          </w:p>
        </w:tc>
        <w:tc>
          <w:tcPr>
            <w:tcW w:type="dxa" w:w="12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80%</w:t>
            </w:r>
          </w:p>
        </w:tc>
        <w:tc>
          <w:tcPr>
            <w:tcW w:type="dxa" w:w="1837"/>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Manual, as today</w:t>
            </w:r>
          </w:p>
        </w:tc>
        <w:tc>
          <w:tcPr>
            <w:tcW w:type="dxa" w:w="150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Manual, as today</w:t>
            </w:r>
          </w:p>
        </w:tc>
        <w:tc>
          <w:tcPr>
            <w:tcW w:type="dxa" w:w="1174"/>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97%</w:t>
            </w:r>
          </w:p>
        </w:tc>
        <w:tc>
          <w:tcPr>
            <w:tcW w:type="dxa" w:w="1178"/>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97%</w:t>
            </w:r>
          </w:p>
        </w:tc>
      </w:tr>
      <w:tr>
        <w:trPr>
          <w:cantSplit/>
          <w:tblHeader w:val="false"/>
        </w:trPr>
        <w:tc>
          <w:tcPr>
            <w:tcW w:type="dxa" w:w="2423"/>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Staffing within 48 hours</w:t>
            </w:r>
          </w:p>
        </w:tc>
        <w:tc>
          <w:tcPr>
            <w:tcW w:type="dxa" w:w="12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55%</w:t>
            </w:r>
          </w:p>
        </w:tc>
        <w:tc>
          <w:tcPr>
            <w:tcW w:type="dxa" w:w="1837"/>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Measure</w:t>
            </w:r>
          </w:p>
        </w:tc>
        <w:tc>
          <w:tcPr>
            <w:tcW w:type="dxa" w:w="150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Toward 70%</w:t>
            </w:r>
          </w:p>
        </w:tc>
        <w:tc>
          <w:tcPr>
            <w:tcW w:type="dxa" w:w="1174"/>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85%</w:t>
            </w:r>
          </w:p>
        </w:tc>
        <w:tc>
          <w:tcPr>
            <w:tcW w:type="dxa" w:w="1178"/>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85%</w:t>
            </w:r>
          </w:p>
        </w:tc>
      </w:tr>
      <w:tr>
        <w:trPr>
          <w:cantSplit/>
          <w:tblHeader w:val="false"/>
        </w:trPr>
        <w:tc>
          <w:tcPr>
            <w:tcW w:type="dxa" w:w="2423"/>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Agent quality</w:t>
            </w:r>
          </w:p>
        </w:tc>
        <w:tc>
          <w:tcPr>
            <w:tcW w:type="dxa" w:w="12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Not measured</w:t>
            </w:r>
          </w:p>
        </w:tc>
        <w:tc>
          <w:tcPr>
            <w:tcW w:type="dxa" w:w="1837"/>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Baseline set</w:t>
            </w:r>
          </w:p>
        </w:tc>
        <w:tc>
          <w:tcPr>
            <w:tcW w:type="dxa" w:w="150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Track</w:t>
            </w:r>
          </w:p>
        </w:tc>
        <w:tc>
          <w:tcPr>
            <w:tcW w:type="dxa" w:w="1174"/>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95% or higher</w:t>
            </w:r>
          </w:p>
        </w:tc>
        <w:tc>
          <w:tcPr>
            <w:tcW w:type="dxa" w:w="1178"/>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95% or higher</w:t>
            </w:r>
          </w:p>
        </w:tc>
      </w:tr>
      <w:tr>
        <w:trPr>
          <w:cantSplit/>
          <w:tblHeader w:val="false"/>
        </w:trPr>
        <w:tc>
          <w:tcPr>
            <w:tcW w:type="dxa" w:w="2423"/>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Governed AI traffic</w:t>
            </w:r>
          </w:p>
        </w:tc>
        <w:tc>
          <w:tcPr>
            <w:tcW w:type="dxa" w:w="12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Not measured</w:t>
            </w:r>
          </w:p>
        </w:tc>
        <w:tc>
          <w:tcPr>
            <w:tcW w:type="dxa" w:w="1837"/>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100% in scope</w:t>
            </w:r>
          </w:p>
        </w:tc>
        <w:tc>
          <w:tcPr>
            <w:tcW w:type="dxa" w:w="150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100% in scope</w:t>
            </w:r>
          </w:p>
        </w:tc>
        <w:tc>
          <w:tcPr>
            <w:tcW w:type="dxa" w:w="1174"/>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100%</w:t>
            </w:r>
          </w:p>
        </w:tc>
        <w:tc>
          <w:tcPr>
            <w:tcW w:type="dxa" w:w="1178"/>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100%</w:t>
            </w:r>
          </w:p>
        </w:tc>
      </w:tr>
      <w:tr>
        <w:trPr>
          <w:cantSplit/>
          <w:tblHeader w:val="false"/>
        </w:trPr>
        <w:tc>
          <w:tcPr>
            <w:tcW w:type="dxa" w:w="2423"/>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AI cost per launch</w:t>
            </w:r>
          </w:p>
        </w:tc>
        <w:tc>
          <w:tcPr>
            <w:tcW w:type="dxa" w:w="12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Not measured</w:t>
            </w:r>
          </w:p>
        </w:tc>
        <w:tc>
          <w:tcPr>
            <w:tcW w:type="dxa" w:w="1837"/>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Baseline set</w:t>
            </w:r>
          </w:p>
        </w:tc>
        <w:tc>
          <w:tcPr>
            <w:tcW w:type="dxa" w:w="150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Within target</w:t>
            </w:r>
          </w:p>
        </w:tc>
        <w:tc>
          <w:tcPr>
            <w:tcW w:type="dxa" w:w="1174"/>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Within target</w:t>
            </w:r>
          </w:p>
        </w:tc>
        <w:tc>
          <w:tcPr>
            <w:tcW w:type="dxa" w:w="1178"/>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Within target</w:t>
            </w:r>
          </w:p>
        </w:tc>
      </w:tr>
      <w:tr>
        <w:trPr>
          <w:cantSplit/>
          <w:tblHeader w:val="false"/>
        </w:trPr>
        <w:tc>
          <w:tcPr>
            <w:tcW w:type="dxa" w:w="2423"/>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AI cost visibility</w:t>
            </w:r>
          </w:p>
        </w:tc>
        <w:tc>
          <w:tcPr>
            <w:tcW w:type="dxa" w:w="12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Not measured</w:t>
            </w:r>
          </w:p>
        </w:tc>
        <w:tc>
          <w:tcPr>
            <w:tcW w:type="dxa" w:w="1837"/>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100% in scope</w:t>
            </w:r>
          </w:p>
        </w:tc>
        <w:tc>
          <w:tcPr>
            <w:tcW w:type="dxa" w:w="150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100% in scope</w:t>
            </w:r>
          </w:p>
        </w:tc>
        <w:tc>
          <w:tcPr>
            <w:tcW w:type="dxa" w:w="1174"/>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100%</w:t>
            </w:r>
          </w:p>
        </w:tc>
        <w:tc>
          <w:tcPr>
            <w:tcW w:type="dxa" w:w="1178"/>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100%</w:t>
            </w:r>
          </w:p>
        </w:tc>
      </w:tr>
    </w:tbl>
    <w:p>
      <w:pPr>
        <w:spacing w:after="120"/>
      </w:pPr>
    </w:p>
    <w:p>
      <w:pPr>
        <w:pStyle w:val="Heading3"/>
        <w:keepNext/>
      </w:pPr>
      <w:r>
        <w:rPr>
          <w:rFonts w:ascii="Calibri" w:cs="Calibri" w:eastAsia="Calibri" w:hAnsi="Calibri"/>
        </w:rPr>
        <w:t xml:space="preserve">Control-plane scorecard for the use case</w:t>
      </w:r>
    </w:p>
    <w:tbl>
      <w:tblPr>
        <w:tblW w:type="dxa" w:w="9360"/>
        <w:tblBorders>
          <w:top w:val="single" w:color="CBD5E1" w:sz="4"/>
          <w:left w:val="single" w:color="CBD5E1" w:sz="4"/>
          <w:bottom w:val="single" w:color="CBD5E1" w:sz="4"/>
          <w:right w:val="single" w:color="CBD5E1" w:sz="4"/>
          <w:insideH w:val="single" w:color="CBD5E1" w:sz="4"/>
          <w:insideV w:val="single" w:color="CBD5E1" w:sz="4"/>
        </w:tblBorders>
        <w:tblLayout w:type="fixed"/>
      </w:tblPr>
      <w:tblGrid>
        <w:gridCol w:w="1696"/>
        <w:gridCol w:w="3024"/>
        <w:gridCol w:w="3084"/>
        <w:gridCol w:w="1556"/>
      </w:tblGrid>
      <w:tr>
        <w:trPr>
          <w:cantSplit/>
          <w:tblHeader/>
        </w:trPr>
        <w:tc>
          <w:tcPr>
            <w:tcW w:type="dxa" w:w="1696"/>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Metric</w:t>
            </w:r>
          </w:p>
        </w:tc>
        <w:tc>
          <w:tcPr>
            <w:tcW w:type="dxa" w:w="3024"/>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What it shows for this use case</w:t>
            </w:r>
          </w:p>
        </w:tc>
        <w:tc>
          <w:tcPr>
            <w:tcW w:type="dxa" w:w="3084"/>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Leading indicator</w:t>
            </w:r>
          </w:p>
        </w:tc>
        <w:tc>
          <w:tcPr>
            <w:tcW w:type="dxa" w:w="1556"/>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Data source</w:t>
            </w:r>
          </w:p>
        </w:tc>
      </w:tr>
      <w:tr>
        <w:trPr>
          <w:cantSplit/>
          <w:tblHeader w:val="false"/>
        </w:trPr>
        <w:tc>
          <w:tcPr>
            <w:tcW w:type="dxa" w:w="1696"/>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Agent coverage</w:t>
            </w:r>
          </w:p>
        </w:tc>
        <w:tc>
          <w:tcPr>
            <w:tcW w:type="dxa" w:w="3024"/>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Every launch agent registered with an owner, a sponsor and a tier</w:t>
            </w:r>
          </w:p>
        </w:tc>
        <w:tc>
          <w:tcPr>
            <w:tcW w:type="dxa" w:w="3084"/>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Launch agents found by scanners but not yet registered</w:t>
            </w:r>
          </w:p>
        </w:tc>
        <w:tc>
          <w:tcPr>
            <w:tcW w:type="dxa" w:w="1556"/>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Agent Registry and Scanners</w:t>
            </w:r>
          </w:p>
        </w:tc>
      </w:tr>
      <w:tr>
        <w:trPr>
          <w:cantSplit/>
          <w:tblHeader w:val="false"/>
        </w:trPr>
        <w:tc>
          <w:tcPr>
            <w:tcW w:type="dxa" w:w="1696"/>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Governed traffic</w:t>
            </w:r>
          </w:p>
        </w:tc>
        <w:tc>
          <w:tcPr>
            <w:tcW w:type="dxa" w:w="3024"/>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Every model and tool call in scope through AI Gateway</w:t>
            </w:r>
          </w:p>
        </w:tc>
        <w:tc>
          <w:tcPr>
            <w:tcW w:type="dxa" w:w="3084"/>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New launch agents whose first production call went through the gateway</w:t>
            </w:r>
          </w:p>
        </w:tc>
        <w:tc>
          <w:tcPr>
            <w:tcW w:type="dxa" w:w="1556"/>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AI Gateway</w:t>
            </w:r>
          </w:p>
        </w:tc>
      </w:tr>
      <w:tr>
        <w:trPr>
          <w:cantSplit/>
          <w:tblHeader w:val="false"/>
        </w:trPr>
        <w:tc>
          <w:tcPr>
            <w:tcW w:type="dxa" w:w="1696"/>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Cost per outcome</w:t>
            </w:r>
          </w:p>
        </w:tc>
        <w:tc>
          <w:tcPr>
            <w:tcW w:type="dxa" w:w="3024"/>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AI cost per launch against its target</w:t>
            </w:r>
          </w:p>
        </w:tc>
        <w:tc>
          <w:tcPr>
            <w:tcW w:type="dxa" w:w="3084"/>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Cost per successful task: letters and budgets that passed their checks</w:t>
            </w:r>
          </w:p>
        </w:tc>
        <w:tc>
          <w:tcPr>
            <w:tcW w:type="dxa" w:w="1556"/>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LLM Governance</w:t>
            </w:r>
          </w:p>
        </w:tc>
      </w:tr>
      <w:tr>
        <w:trPr>
          <w:cantSplit/>
          <w:tblHeader w:val="false"/>
        </w:trPr>
        <w:tc>
          <w:tcPr>
            <w:tcW w:type="dxa" w:w="1696"/>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AI cost visibility</w:t>
            </w:r>
          </w:p>
        </w:tc>
        <w:tc>
          <w:tcPr>
            <w:tcW w:type="dxa" w:w="3024"/>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AI spend for launches attributed to an engagement within a day</w:t>
            </w:r>
          </w:p>
        </w:tc>
        <w:tc>
          <w:tcPr>
            <w:tcW w:type="dxa" w:w="3084"/>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Share of the previous day’s spend tagged to an engagement</w:t>
            </w:r>
          </w:p>
        </w:tc>
        <w:tc>
          <w:tcPr>
            <w:tcW w:type="dxa" w:w="1556"/>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AI Gateway</w:t>
            </w:r>
          </w:p>
          <w:p>
            <w:pPr>
              <w:spacing w:after="0" w:before="0" w:line="252"/>
            </w:pPr>
            <w:r>
              <w:rPr>
                <w:rFonts w:ascii="Calibri" w:cs="Calibri" w:eastAsia="Calibri" w:hAnsi="Calibri"/>
                <w:sz w:val="18"/>
                <w:szCs w:val="18"/>
              </w:rPr>
              <w:t xml:space="preserve">LLM Governance</w:t>
            </w:r>
          </w:p>
        </w:tc>
      </w:tr>
      <w:tr>
        <w:trPr>
          <w:cantSplit/>
          <w:tblHeader w:val="false"/>
        </w:trPr>
        <w:tc>
          <w:tcPr>
            <w:tcW w:type="dxa" w:w="1696"/>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Value realized</w:t>
            </w:r>
          </w:p>
        </w:tc>
        <w:tc>
          <w:tcPr>
            <w:tcW w:type="dxa" w:w="3024"/>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Run rate of the live slice against the business case: about $0.5M, $8M, then $30M a year</w:t>
            </w:r>
          </w:p>
        </w:tc>
        <w:tc>
          <w:tcPr>
            <w:tcW w:type="dxa" w:w="3084"/>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Acceptance rate of letters and budgets without significant edits</w:t>
            </w:r>
          </w:p>
        </w:tc>
        <w:tc>
          <w:tcPr>
            <w:tcW w:type="dxa" w:w="1556"/>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Business-case tracking</w:t>
            </w:r>
          </w:p>
        </w:tc>
      </w:tr>
      <w:tr>
        <w:trPr>
          <w:cantSplit/>
          <w:tblHeader w:val="false"/>
        </w:trPr>
        <w:tc>
          <w:tcPr>
            <w:tcW w:type="dxa" w:w="1696"/>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Oversight effectiveness</w:t>
            </w:r>
          </w:p>
        </w:tc>
        <w:tc>
          <w:tcPr>
            <w:tcW w:type="dxa" w:w="3024"/>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SAP setups executed exactly as the partner approved, within the approval’s validity</w:t>
            </w:r>
          </w:p>
        </w:tc>
        <w:tc>
          <w:tcPr>
            <w:tcW w:type="dxa" w:w="3084"/>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Takeover rate: how often a manager or reviewer takes over a task an agent started</w:t>
            </w:r>
          </w:p>
        </w:tc>
        <w:tc>
          <w:tcPr>
            <w:tcW w:type="dxa" w:w="1556"/>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Gateway approval-binding events</w:t>
            </w:r>
          </w:p>
        </w:tc>
      </w:tr>
      <w:tr>
        <w:trPr>
          <w:cantSplit/>
          <w:tblHeader w:val="false"/>
        </w:trPr>
        <w:tc>
          <w:tcPr>
            <w:tcW w:type="dxa" w:w="1696"/>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Time to contain</w:t>
            </w:r>
          </w:p>
        </w:tc>
        <w:tc>
          <w:tcPr>
            <w:tcW w:type="dxa" w:w="3024"/>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Kill-switch and takeover drill passed before tier 3 goes live</w:t>
            </w:r>
          </w:p>
        </w:tc>
        <w:tc>
          <w:tcPr>
            <w:tcW w:type="dxa" w:w="3084"/>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Drill time: minutes to stop the setup agent and hand its open launches to finance</w:t>
            </w:r>
          </w:p>
        </w:tc>
        <w:tc>
          <w:tcPr>
            <w:tcW w:type="dxa" w:w="1556"/>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Agent Kill Switch</w:t>
            </w:r>
          </w:p>
          <w:p>
            <w:pPr>
              <w:spacing w:after="0" w:before="0" w:line="252"/>
            </w:pPr>
            <w:r>
              <w:rPr>
                <w:rFonts w:ascii="Calibri" w:cs="Calibri" w:eastAsia="Calibri" w:hAnsi="Calibri"/>
                <w:sz w:val="18"/>
                <w:szCs w:val="18"/>
              </w:rPr>
              <w:t xml:space="preserve">Takeover drill records</w:t>
            </w:r>
          </w:p>
        </w:tc>
      </w:tr>
    </w:tbl>
    <w:p>
      <w:pPr>
        <w:spacing w:after="120"/>
      </w:pPr>
    </w:p>
    <w:tbl>
      <w:tblPr>
        <w:tblW w:type="dxa" w:w="9360"/>
        <w:tblBorders>
          <w:top w:val="single" w:color="CBD5E1" w:sz="4"/>
          <w:left w:val="single" w:color="CBD5E1" w:sz="4"/>
          <w:bottom w:val="single" w:color="CBD5E1" w:sz="4"/>
          <w:right w:val="single" w:color="CBD5E1" w:sz="4"/>
          <w:insideH w:val="single" w:color="CBD5E1" w:sz="4"/>
          <w:insideV w:val="single" w:color="CBD5E1" w:sz="4"/>
        </w:tblBorders>
        <w:tblLayout w:type="fixed"/>
      </w:tblPr>
      <w:tblGrid>
        <w:gridCol w:w="9360"/>
      </w:tblGrid>
      <w:tr>
        <w:trPr>
          <w:cantSplit/>
        </w:trPr>
        <w:tc>
          <w:tcPr>
            <w:tcW w:type="dxa" w:w="9360"/>
            <w:shd w:fill="F1F5F9" w:color="auto" w:val="clear"/>
            <w:tcMar>
              <w:top w:type="dxa" w:w="140"/>
              <w:left w:type="dxa" w:w="200"/>
              <w:bottom w:type="dxa" w:w="140"/>
              <w:right w:type="dxa" w:w="200"/>
            </w:tcMar>
          </w:tcPr>
          <w:p>
            <w:pPr>
              <w:spacing w:after="100"/>
            </w:pPr>
            <w:r>
              <w:rPr>
                <w:rFonts w:ascii="Calibri" w:cs="Calibri" w:eastAsia="Calibri" w:hAnsi="Calibri"/>
                <w:b/>
                <w:bCs/>
                <w:color w:val="1E293B"/>
                <w:sz w:val="22"/>
                <w:szCs w:val="22"/>
              </w:rPr>
              <w:t xml:space="preserve">Why it is filled this way</w:t>
            </w:r>
          </w:p>
          <w:p>
            <w:pPr>
              <w:spacing w:after="80"/>
            </w:pPr>
            <w:r>
              <w:rPr>
                <w:rFonts w:ascii="Calibri" w:cs="Calibri" w:eastAsia="Calibri" w:hAnsi="Calibri"/>
                <w:sz w:val="20"/>
                <w:szCs w:val="20"/>
              </w:rPr>
              <w:t xml:space="preserve">Baselines are illustrative. Three are “not measured” because the firm has no gateway today, and measuring them is itself a phase 1 outcome.</w:t>
            </w:r>
          </w:p>
          <w:p>
            <w:pPr>
              <w:spacing w:after="80"/>
            </w:pPr>
            <w:r>
              <w:rPr>
                <w:rFonts w:ascii="Calibri" w:cs="Calibri" w:eastAsia="Calibri" w:hAnsi="Calibri"/>
                <w:sz w:val="20"/>
                <w:szCs w:val="20"/>
              </w:rPr>
              <w:t xml:space="preserve">Month 3 targets apply to one service line in one region, and say so. All targets are met by month 12, and month 24 shows them sustained.</w:t>
            </w:r>
          </w:p>
          <w:p>
            <w:pPr>
              <w:spacing w:after="80"/>
            </w:pPr>
            <w:r>
              <w:rPr>
                <w:rFonts w:ascii="Calibri" w:cs="Calibri" w:eastAsia="Calibri" w:hAnsi="Calibri"/>
                <w:sz w:val="20"/>
                <w:szCs w:val="20"/>
              </w:rPr>
              <w:t xml:space="preserve">The scorecard ties the use case to the platform: agent coverage, governed traffic and cost per outcome are the evidence the control plane is working.</w:t>
            </w:r>
          </w:p>
          <w:p>
            <w:pPr>
              <w:spacing w:after="80"/>
            </w:pPr>
            <w:r>
              <w:rPr>
                <w:rFonts w:ascii="Calibri" w:cs="Calibri" w:eastAsia="Calibri" w:hAnsi="Calibri"/>
                <w:sz w:val="20"/>
                <w:szCs w:val="20"/>
              </w:rPr>
              <w:t xml:space="preserve">Every scorecard metric has a leading indicator that moves within weeks, and AI cost visibility is measured from phase 1, when every call in scope is tagged to its engagement.</w:t>
            </w:r>
          </w:p>
        </w:tc>
      </w:tr>
    </w:tbl>
    <w:p>
      <w:pPr>
        <w:spacing w:after="120"/>
      </w:pPr>
    </w:p>
    <w:p>
      <w:pPr>
        <w:pStyle w:val="Heading2"/>
        <w:keepNext/>
        <w:pageBreakBefore/>
      </w:pPr>
      <w:bookmarkStart w:name="p2_T7" w:id="23"/>
      <w:r>
        <w:rPr>
          <w:rFonts w:ascii="Calibri" w:cs="Calibri" w:eastAsia="Calibri" w:hAnsi="Calibri"/>
        </w:rPr>
        <w:t xml:space="preserve">T7 filled: north-star architecture (vendor-neutral)</w:t>
      </w:r>
      <w:bookmarkEnd w:id="23"/>
    </w:p>
    <w:tbl>
      <w:tblPr>
        <w:tblW w:type="dxa" w:w="9360"/>
        <w:tblBorders>
          <w:top w:val="single" w:color="CBD5E1" w:sz="4"/>
          <w:left w:val="single" w:color="CBD5E1" w:sz="4"/>
          <w:bottom w:val="single" w:color="CBD5E1" w:sz="4"/>
          <w:right w:val="single" w:color="CBD5E1" w:sz="4"/>
          <w:insideH w:val="single" w:color="CBD5E1" w:sz="4"/>
          <w:insideV w:val="single" w:color="CBD5E1" w:sz="4"/>
        </w:tblBorders>
        <w:tblLayout w:type="fixed"/>
      </w:tblPr>
      <w:tblGrid>
        <w:gridCol w:w="1696"/>
        <w:gridCol w:w="7664"/>
      </w:tblGrid>
      <w:tr>
        <w:trPr>
          <w:cantSplit/>
          <w:tblHeader/>
        </w:trPr>
        <w:tc>
          <w:tcPr>
            <w:tcW w:type="dxa" w:w="1696"/>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Layer</w:t>
            </w:r>
          </w:p>
        </w:tc>
        <w:tc>
          <w:tcPr>
            <w:tcW w:type="dxa" w:w="7664"/>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This use case</w:t>
            </w:r>
          </w:p>
        </w:tc>
      </w:tr>
      <w:tr>
        <w:trPr>
          <w:cantSplit/>
          <w:tblHeader w:val="false"/>
        </w:trPr>
        <w:tc>
          <w:tcPr>
            <w:tcW w:type="dxa" w:w="1696"/>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Users and clients</w:t>
            </w:r>
          </w:p>
        </w:tc>
        <w:tc>
          <w:tcPr>
            <w:tcW w:type="dxa" w:w="7664"/>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Chat copilot (engagement managers)</w:t>
            </w:r>
          </w:p>
          <w:p>
            <w:pPr>
              <w:spacing w:after="80" w:before="0" w:line="252"/>
            </w:pPr>
            <w:r>
              <w:rPr>
                <w:rFonts w:ascii="Calibri" w:cs="Calibri" w:eastAsia="Calibri" w:hAnsi="Calibri"/>
                <w:sz w:val="18"/>
                <w:szCs w:val="18"/>
              </w:rPr>
              <w:t xml:space="preserve">Mobile approvals with step-up MFA (partners)</w:t>
            </w:r>
          </w:p>
          <w:p>
            <w:pPr>
              <w:spacing w:after="80" w:before="0" w:line="252"/>
            </w:pPr>
            <w:r>
              <w:rPr>
                <w:rFonts w:ascii="Calibri" w:cs="Calibri" w:eastAsia="Calibri" w:hAnsi="Calibri"/>
                <w:sz w:val="18"/>
                <w:szCs w:val="18"/>
              </w:rPr>
              <w:t xml:space="preserve">Risk workspace (independence reviewers)</w:t>
            </w:r>
          </w:p>
          <w:p>
            <w:pPr>
              <w:spacing w:after="0" w:before="0" w:line="252"/>
            </w:pPr>
            <w:r>
              <w:rPr>
                <w:rFonts w:ascii="Calibri" w:cs="Calibri" w:eastAsia="Calibri" w:hAnsi="Calibri"/>
                <w:sz w:val="18"/>
                <w:szCs w:val="18"/>
              </w:rPr>
              <w:t xml:space="preserve">E-signature portal (client signatories)</w:t>
            </w:r>
          </w:p>
        </w:tc>
      </w:tr>
      <w:tr>
        <w:trPr>
          <w:cantSplit/>
          <w:tblHeader w:val="false"/>
        </w:trPr>
        <w:tc>
          <w:tcPr>
            <w:tcW w:type="dxa" w:w="1696"/>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Agents and tiers</w:t>
            </w:r>
          </w:p>
        </w:tc>
        <w:tc>
          <w:tcPr>
            <w:tcW w:type="dxa" w:w="7664"/>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Entity Resolution (Tier 2, read-only)</w:t>
            </w:r>
          </w:p>
          <w:p>
            <w:pPr>
              <w:spacing w:after="80" w:before="0" w:line="252"/>
            </w:pPr>
            <w:r>
              <w:rPr>
                <w:rFonts w:ascii="Calibri" w:cs="Calibri" w:eastAsia="Calibri" w:hAnsi="Calibri"/>
                <w:sz w:val="18"/>
                <w:szCs w:val="18"/>
              </w:rPr>
              <w:t xml:space="preserve">Conflicts &amp; Independence (Tier 1, Risk decides)</w:t>
            </w:r>
          </w:p>
          <w:p>
            <w:pPr>
              <w:spacing w:after="80" w:before="0" w:line="252"/>
            </w:pPr>
            <w:r>
              <w:rPr>
                <w:rFonts w:ascii="Calibri" w:cs="Calibri" w:eastAsia="Calibri" w:hAnsi="Calibri"/>
                <w:sz w:val="18"/>
                <w:szCs w:val="18"/>
              </w:rPr>
              <w:t xml:space="preserve">Scoping &amp; Letter (Tier 1, drafts only)</w:t>
            </w:r>
          </w:p>
          <w:p>
            <w:pPr>
              <w:spacing w:after="80" w:before="0" w:line="252"/>
            </w:pPr>
            <w:r>
              <w:rPr>
                <w:rFonts w:ascii="Calibri" w:cs="Calibri" w:eastAsia="Calibri" w:hAnsi="Calibri"/>
                <w:sz w:val="18"/>
                <w:szCs w:val="18"/>
              </w:rPr>
              <w:t xml:space="preserve">Pricing &amp; Budget (Tier 2, proposes)</w:t>
            </w:r>
          </w:p>
          <w:p>
            <w:pPr>
              <w:spacing w:after="80" w:before="0" w:line="252"/>
            </w:pPr>
            <w:r>
              <w:rPr>
                <w:rFonts w:ascii="Calibri" w:cs="Calibri" w:eastAsia="Calibri" w:hAnsi="Calibri"/>
                <w:sz w:val="18"/>
                <w:szCs w:val="18"/>
              </w:rPr>
              <w:t xml:space="preserve">Staffing (Tier 2, proposes)</w:t>
            </w:r>
          </w:p>
          <w:p>
            <w:pPr>
              <w:spacing w:after="0" w:before="0" w:line="252"/>
            </w:pPr>
            <w:r>
              <w:rPr>
                <w:rFonts w:ascii="Calibri" w:cs="Calibri" w:eastAsia="Calibri" w:hAnsi="Calibri"/>
                <w:sz w:val="18"/>
                <w:szCs w:val="18"/>
              </w:rPr>
              <w:t xml:space="preserve">Engagement Setup (Tier 3, gated writes)</w:t>
            </w:r>
          </w:p>
        </w:tc>
      </w:tr>
      <w:tr>
        <w:trPr>
          <w:cantSplit/>
          <w:tblHeader w:val="false"/>
        </w:trPr>
        <w:tc>
          <w:tcPr>
            <w:tcW w:type="dxa" w:w="1696"/>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Orchestration</w:t>
            </w:r>
          </w:p>
        </w:tc>
        <w:tc>
          <w:tcPr>
            <w:tcW w:type="dxa" w:w="7664"/>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Hybrid/federated</w:t>
            </w:r>
          </w:p>
          <w:p>
            <w:pPr>
              <w:spacing w:after="80" w:before="0" w:line="252"/>
            </w:pPr>
            <w:r>
              <w:rPr>
                <w:rFonts w:ascii="Calibri" w:cs="Calibri" w:eastAsia="Calibri" w:hAnsi="Calibri"/>
                <w:sz w:val="18"/>
                <w:szCs w:val="18"/>
              </w:rPr>
              <w:t xml:space="preserve">Launch Orchestrator as supervisor</w:t>
            </w:r>
          </w:p>
          <w:p>
            <w:pPr>
              <w:spacing w:after="80" w:before="0" w:line="252"/>
            </w:pPr>
            <w:r>
              <w:rPr>
                <w:rFonts w:ascii="Calibri" w:cs="Calibri" w:eastAsia="Calibri" w:hAnsi="Calibri"/>
                <w:sz w:val="18"/>
                <w:szCs w:val="18"/>
              </w:rPr>
              <w:t xml:space="preserve">Deterministic gates for independence, approvals and signature</w:t>
            </w:r>
          </w:p>
          <w:p>
            <w:pPr>
              <w:spacing w:after="80" w:before="0" w:line="252"/>
            </w:pPr>
            <w:r>
              <w:rPr>
                <w:rFonts w:ascii="Calibri" w:cs="Calibri" w:eastAsia="Calibri" w:hAnsi="Calibri"/>
                <w:sz w:val="18"/>
                <w:szCs w:val="18"/>
              </w:rPr>
              <w:t xml:space="preserve">A2A delegation</w:t>
            </w:r>
            <w:hyperlink w:history="1" w:anchor="en_27">
              <w:r>
                <w:rPr>
                  <w:rFonts w:ascii="Calibri" w:cs="Calibri" w:eastAsia="Calibri" w:hAnsi="Calibri"/>
                  <w:color w:val="0369A1"/>
                  <w:sz w:val="18"/>
                  <w:szCs w:val="18"/>
                  <w:vertAlign w:val="superscript"/>
                </w:rPr>
                <w:t xml:space="preserve">27</w:t>
              </w:r>
            </w:hyperlink>
          </w:p>
          <w:p>
            <w:pPr>
              <w:spacing w:after="0" w:before="0" w:line="252"/>
            </w:pPr>
            <w:r>
              <w:rPr>
                <w:rFonts w:ascii="Calibri" w:cs="Calibri" w:eastAsia="Calibri" w:hAnsi="Calibri"/>
                <w:sz w:val="18"/>
                <w:szCs w:val="18"/>
              </w:rPr>
              <w:t xml:space="preserve">CRM and e-signature event triggers</w:t>
            </w:r>
          </w:p>
        </w:tc>
      </w:tr>
      <w:tr>
        <w:trPr>
          <w:cantSplit/>
          <w:tblHeader w:val="false"/>
        </w:trPr>
        <w:tc>
          <w:tcPr>
            <w:tcW w:type="dxa" w:w="1696"/>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Control plane</w:t>
            </w:r>
          </w:p>
        </w:tc>
        <w:tc>
          <w:tcPr>
            <w:tcW w:type="dxa" w:w="7664"/>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Registry of agents, tools and APIs</w:t>
            </w:r>
          </w:p>
          <w:p>
            <w:pPr>
              <w:spacing w:after="80" w:before="0" w:line="252"/>
            </w:pPr>
            <w:r>
              <w:rPr>
                <w:rFonts w:ascii="Calibri" w:cs="Calibri" w:eastAsia="Calibri" w:hAnsi="Calibri"/>
                <w:sz w:val="18"/>
                <w:szCs w:val="18"/>
              </w:rPr>
              <w:t xml:space="preserve">AI gateway for LLM, MCP and A2A traffic</w:t>
            </w:r>
          </w:p>
          <w:p>
            <w:pPr>
              <w:spacing w:after="80" w:before="0" w:line="252"/>
            </w:pPr>
            <w:r>
              <w:rPr>
                <w:rFonts w:ascii="Calibri" w:cs="Calibri" w:eastAsia="Calibri" w:hAnsi="Calibri"/>
                <w:sz w:val="18"/>
                <w:szCs w:val="18"/>
              </w:rPr>
              <w:t xml:space="preserve">Policy decision point (policy as code)</w:t>
            </w:r>
          </w:p>
          <w:p>
            <w:pPr>
              <w:spacing w:after="80" w:before="0" w:line="252"/>
            </w:pPr>
            <w:r>
              <w:rPr>
                <w:rFonts w:ascii="Calibri" w:cs="Calibri" w:eastAsia="Calibri" w:hAnsi="Calibri"/>
                <w:sz w:val="18"/>
                <w:szCs w:val="18"/>
              </w:rPr>
              <w:t xml:space="preserve">Identity and delegation</w:t>
            </w:r>
          </w:p>
          <w:p>
            <w:pPr>
              <w:spacing w:after="80" w:before="0" w:line="252"/>
            </w:pPr>
            <w:r>
              <w:rPr>
                <w:rFonts w:ascii="Calibri" w:cs="Calibri" w:eastAsia="Calibri" w:hAnsi="Calibri"/>
                <w:sz w:val="18"/>
                <w:szCs w:val="18"/>
              </w:rPr>
              <w:t xml:space="preserve">Evaluation and cost</w:t>
            </w:r>
          </w:p>
          <w:p>
            <w:pPr>
              <w:spacing w:after="0" w:before="0" w:line="252"/>
            </w:pPr>
            <w:r>
              <w:rPr>
                <w:rFonts w:ascii="Calibri" w:cs="Calibri" w:eastAsia="Calibri" w:hAnsi="Calibri"/>
                <w:sz w:val="18"/>
                <w:szCs w:val="18"/>
              </w:rPr>
              <w:t xml:space="preserve">Kill switch</w:t>
            </w:r>
          </w:p>
        </w:tc>
      </w:tr>
      <w:tr>
        <w:trPr>
          <w:cantSplit/>
          <w:tblHeader w:val="false"/>
        </w:trPr>
        <w:tc>
          <w:tcPr>
            <w:tcW w:type="dxa" w:w="1696"/>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Models</w:t>
            </w:r>
          </w:p>
        </w:tc>
        <w:tc>
          <w:tcPr>
            <w:tcW w:type="dxa" w:w="7664"/>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Frontier model for drafting (zero retention)</w:t>
            </w:r>
          </w:p>
          <w:p>
            <w:pPr>
              <w:spacing w:after="80" w:before="0" w:line="252"/>
            </w:pPr>
            <w:r>
              <w:rPr>
                <w:rFonts w:ascii="Calibri" w:cs="Calibri" w:eastAsia="Calibri" w:hAnsi="Calibri"/>
                <w:sz w:val="18"/>
                <w:szCs w:val="18"/>
              </w:rPr>
              <w:t xml:space="preserve">Second frontier provider for failover</w:t>
            </w:r>
          </w:p>
          <w:p>
            <w:pPr>
              <w:spacing w:after="80" w:before="0" w:line="252"/>
            </w:pPr>
            <w:r>
              <w:rPr>
                <w:rFonts w:ascii="Calibri" w:cs="Calibri" w:eastAsia="Calibri" w:hAnsi="Calibri"/>
                <w:sz w:val="18"/>
                <w:szCs w:val="18"/>
              </w:rPr>
              <w:t xml:space="preserve">Self-hosted open-weight SLM for extraction</w:t>
            </w:r>
          </w:p>
          <w:p>
            <w:pPr>
              <w:spacing w:after="0" w:before="0" w:line="252"/>
            </w:pPr>
            <w:r>
              <w:rPr>
                <w:rFonts w:ascii="Calibri" w:cs="Calibri" w:eastAsia="Calibri" w:hAnsi="Calibri"/>
                <w:sz w:val="18"/>
                <w:szCs w:val="18"/>
              </w:rPr>
              <w:t xml:space="preserve">Embeddings on a private endpoint</w:t>
            </w:r>
          </w:p>
        </w:tc>
      </w:tr>
      <w:tr>
        <w:trPr>
          <w:cantSplit/>
          <w:tblHeader w:val="false"/>
        </w:trPr>
        <w:tc>
          <w:tcPr>
            <w:tcW w:type="dxa" w:w="1696"/>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MCP servers and APIs</w:t>
            </w:r>
          </w:p>
        </w:tc>
        <w:tc>
          <w:tcPr>
            <w:tcW w:type="dxa" w:w="7664"/>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CRM, independence system, knowledge and document management, Workday, SAP S/4HANA and Snowflake, each with explicit read or write scopes</w:t>
            </w:r>
            <w:hyperlink w:history="1" w:anchor="en_26">
              <w:r>
                <w:rPr>
                  <w:rFonts w:ascii="Calibri" w:cs="Calibri" w:eastAsia="Calibri" w:hAnsi="Calibri"/>
                  <w:color w:val="0369A1"/>
                  <w:sz w:val="18"/>
                  <w:szCs w:val="18"/>
                  <w:vertAlign w:val="superscript"/>
                </w:rPr>
                <w:t xml:space="preserve">26</w:t>
              </w:r>
            </w:hyperlink>
          </w:p>
        </w:tc>
      </w:tr>
      <w:tr>
        <w:trPr>
          <w:cantSplit/>
          <w:tblHeader w:val="false"/>
        </w:trPr>
        <w:tc>
          <w:tcPr>
            <w:tcW w:type="dxa" w:w="1696"/>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Data governance</w:t>
            </w:r>
          </w:p>
        </w:tc>
        <w:tc>
          <w:tcPr>
            <w:tcW w:type="dxa" w:w="7664"/>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Golden records for client, worker and engagement</w:t>
            </w:r>
          </w:p>
          <w:p>
            <w:pPr>
              <w:spacing w:after="80" w:before="0" w:line="252"/>
            </w:pPr>
            <w:r>
              <w:rPr>
                <w:rFonts w:ascii="Calibri" w:cs="Calibri" w:eastAsia="Calibri" w:hAnsi="Calibri"/>
                <w:sz w:val="18"/>
                <w:szCs w:val="18"/>
              </w:rPr>
              <w:t xml:space="preserve">Semantic layer and data contracts</w:t>
            </w:r>
          </w:p>
          <w:p>
            <w:pPr>
              <w:spacing w:after="80" w:before="0" w:line="252"/>
            </w:pPr>
            <w:r>
              <w:rPr>
                <w:rFonts w:ascii="Calibri" w:cs="Calibri" w:eastAsia="Calibri" w:hAnsi="Calibri"/>
                <w:sz w:val="18"/>
                <w:szCs w:val="18"/>
              </w:rPr>
              <w:t xml:space="preserve">Catalog and lineage</w:t>
            </w:r>
          </w:p>
          <w:p>
            <w:pPr>
              <w:spacing w:after="80" w:before="0" w:line="252"/>
            </w:pPr>
            <w:r>
              <w:rPr>
                <w:rFonts w:ascii="Calibri" w:cs="Calibri" w:eastAsia="Calibri" w:hAnsi="Calibri"/>
                <w:sz w:val="18"/>
                <w:szCs w:val="18"/>
              </w:rPr>
              <w:t xml:space="preserve">Data quality</w:t>
            </w:r>
          </w:p>
          <w:p>
            <w:pPr>
              <w:spacing w:after="0" w:before="0" w:line="252"/>
            </w:pPr>
            <w:r>
              <w:rPr>
                <w:rFonts w:ascii="Calibri" w:cs="Calibri" w:eastAsia="Calibri" w:hAnsi="Calibri"/>
                <w:sz w:val="18"/>
                <w:szCs w:val="18"/>
              </w:rPr>
              <w:t xml:space="preserve">Access policies and information barriers</w:t>
            </w:r>
          </w:p>
        </w:tc>
      </w:tr>
      <w:tr>
        <w:trPr>
          <w:cantSplit/>
          <w:tblHeader w:val="false"/>
        </w:trPr>
        <w:tc>
          <w:tcPr>
            <w:tcW w:type="dxa" w:w="1696"/>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Systems of record</w:t>
            </w:r>
          </w:p>
        </w:tc>
        <w:tc>
          <w:tcPr>
            <w:tcW w:type="dxa" w:w="7664"/>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CRM</w:t>
            </w:r>
          </w:p>
          <w:p>
            <w:pPr>
              <w:spacing w:after="80" w:before="0" w:line="252"/>
            </w:pPr>
            <w:r>
              <w:rPr>
                <w:rFonts w:ascii="Calibri" w:cs="Calibri" w:eastAsia="Calibri" w:hAnsi="Calibri"/>
                <w:sz w:val="18"/>
                <w:szCs w:val="18"/>
              </w:rPr>
              <w:t xml:space="preserve">Independence system</w:t>
            </w:r>
          </w:p>
          <w:p>
            <w:pPr>
              <w:spacing w:after="80" w:before="0" w:line="252"/>
            </w:pPr>
            <w:r>
              <w:rPr>
                <w:rFonts w:ascii="Calibri" w:cs="Calibri" w:eastAsia="Calibri" w:hAnsi="Calibri"/>
                <w:sz w:val="18"/>
                <w:szCs w:val="18"/>
              </w:rPr>
              <w:t xml:space="preserve">Document management and e-signature</w:t>
            </w:r>
          </w:p>
          <w:p>
            <w:pPr>
              <w:spacing w:after="80" w:before="0" w:line="252"/>
            </w:pPr>
            <w:r>
              <w:rPr>
                <w:rFonts w:ascii="Calibri" w:cs="Calibri" w:eastAsia="Calibri" w:hAnsi="Calibri"/>
                <w:sz w:val="18"/>
                <w:szCs w:val="18"/>
              </w:rPr>
              <w:t xml:space="preserve">Workday HCM</w:t>
            </w:r>
          </w:p>
          <w:p>
            <w:pPr>
              <w:spacing w:after="80" w:before="0" w:line="252"/>
            </w:pPr>
            <w:r>
              <w:rPr>
                <w:rFonts w:ascii="Calibri" w:cs="Calibri" w:eastAsia="Calibri" w:hAnsi="Calibri"/>
                <w:sz w:val="18"/>
                <w:szCs w:val="18"/>
              </w:rPr>
              <w:t xml:space="preserve">SAP S/4HANA</w:t>
            </w:r>
          </w:p>
          <w:p>
            <w:pPr>
              <w:spacing w:after="0" w:before="0" w:line="252"/>
            </w:pPr>
            <w:r>
              <w:rPr>
                <w:rFonts w:ascii="Calibri" w:cs="Calibri" w:eastAsia="Calibri" w:hAnsi="Calibri"/>
                <w:sz w:val="18"/>
                <w:szCs w:val="18"/>
              </w:rPr>
              <w:t xml:space="preserve">Snowflake</w:t>
            </w:r>
          </w:p>
        </w:tc>
      </w:tr>
      <w:tr>
        <w:trPr>
          <w:cantSplit/>
          <w:tblHeader w:val="false"/>
        </w:trPr>
        <w:tc>
          <w:tcPr>
            <w:tcW w:type="dxa" w:w="1696"/>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Across every layer</w:t>
            </w:r>
          </w:p>
        </w:tc>
        <w:tc>
          <w:tcPr>
            <w:tcW w:type="dxa" w:w="7664"/>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Security: MFA, per-agent identity, OAuth scopes per tool, mTLS, masking, encryption, tamper-evident audit. Governance: autonomy tiers, human approval gates, agent owners, OpenTelemetry traces, token cost per launch, evaluation scores</w:t>
            </w:r>
          </w:p>
        </w:tc>
      </w:tr>
    </w:tbl>
    <w:p>
      <w:pPr>
        <w:spacing w:after="120"/>
      </w:pPr>
    </w:p>
    <w:p>
      <w:pPr>
        <w:pStyle w:val="Heading3"/>
        <w:keepNext/>
      </w:pPr>
      <w:r>
        <w:rPr>
          <w:rFonts w:ascii="Calibri" w:cs="Calibri" w:eastAsia="Calibri" w:hAnsi="Calibri"/>
        </w:rPr>
        <w:t xml:space="preserve">Design decisions</w:t>
      </w:r>
    </w:p>
    <w:tbl>
      <w:tblPr>
        <w:tblW w:type="dxa" w:w="9360"/>
        <w:tblBorders>
          <w:top w:val="single" w:color="CBD5E1" w:sz="4"/>
          <w:left w:val="single" w:color="CBD5E1" w:sz="4"/>
          <w:bottom w:val="single" w:color="CBD5E1" w:sz="4"/>
          <w:right w:val="single" w:color="CBD5E1" w:sz="4"/>
          <w:insideH w:val="single" w:color="CBD5E1" w:sz="4"/>
          <w:insideV w:val="single" w:color="CBD5E1" w:sz="4"/>
        </w:tblBorders>
        <w:tblLayout w:type="fixed"/>
      </w:tblPr>
      <w:tblGrid>
        <w:gridCol w:w="2068"/>
        <w:gridCol w:w="7292"/>
      </w:tblGrid>
      <w:tr>
        <w:trPr>
          <w:cantSplit/>
          <w:tblHeader/>
        </w:trPr>
        <w:tc>
          <w:tcPr>
            <w:tcW w:type="dxa" w:w="2068"/>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Decision</w:t>
            </w:r>
          </w:p>
        </w:tc>
        <w:tc>
          <w:tcPr>
            <w:tcW w:type="dxa" w:w="7292"/>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Choice and rationale</w:t>
            </w:r>
          </w:p>
        </w:tc>
      </w:tr>
      <w:tr>
        <w:trPr>
          <w:cantSplit/>
          <w:tblHeader w:val="false"/>
        </w:trPr>
        <w:tc>
          <w:tcPr>
            <w:tcW w:type="dxa" w:w="2068"/>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Orchestration pattern</w:t>
            </w:r>
          </w:p>
        </w:tc>
        <w:tc>
          <w:tcPr>
            <w:tcW w:type="dxa" w:w="7292"/>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Hybrid/federated: the control plane governs identity, policy, cost and audit centrally, while each function owns its agents (Risk &amp; Quality, Finance, Talent). Within a launch, a supervisor pattern applies.</w:t>
            </w:r>
          </w:p>
        </w:tc>
      </w:tr>
      <w:tr>
        <w:trPr>
          <w:cantSplit/>
          <w:tblHeader w:val="false"/>
        </w:trPr>
        <w:tc>
          <w:tcPr>
            <w:tcW w:type="dxa" w:w="2068"/>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Model hosting and routing</w:t>
            </w:r>
          </w:p>
        </w:tc>
        <w:tc>
          <w:tcPr>
            <w:tcW w:type="dxa" w:w="7292"/>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 frontier model under enterprise terms with zero data retention for drafting, a second provider for failover, and a self-hosted open-weight model for extraction so client-confidential text stays in the firm.</w:t>
            </w:r>
          </w:p>
        </w:tc>
      </w:tr>
      <w:tr>
        <w:trPr>
          <w:cantSplit/>
          <w:tblHeader w:val="false"/>
        </w:trPr>
        <w:tc>
          <w:tcPr>
            <w:tcW w:type="dxa" w:w="2068"/>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Where gateways and MCP servers run</w:t>
            </w:r>
          </w:p>
        </w:tc>
        <w:tc>
          <w:tcPr>
            <w:tcW w:type="dxa" w:w="7292"/>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Inside the firm’s VPC where confidentiality requires (customer-managed Runtime Fabric in the realization).</w:t>
            </w:r>
          </w:p>
        </w:tc>
      </w:tr>
      <w:tr>
        <w:trPr>
          <w:cantSplit/>
          <w:tblHeader w:val="false"/>
        </w:trPr>
        <w:tc>
          <w:tcPr>
            <w:tcW w:type="dxa" w:w="2068"/>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Data residency</w:t>
            </w:r>
          </w:p>
        </w:tc>
        <w:tc>
          <w:tcPr>
            <w:tcW w:type="dxa" w:w="7292"/>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Client-confidential payloads only to private models or approved regions</w:t>
            </w:r>
          </w:p>
          <w:p>
            <w:pPr>
              <w:spacing w:after="80" w:before="0" w:line="252"/>
            </w:pPr>
            <w:r>
              <w:rPr>
                <w:rFonts w:ascii="Calibri" w:cs="Calibri" w:eastAsia="Calibri" w:hAnsi="Calibri"/>
                <w:sz w:val="18"/>
                <w:szCs w:val="18"/>
              </w:rPr>
              <w:t xml:space="preserve">Private links to SaaS</w:t>
            </w:r>
          </w:p>
          <w:p>
            <w:pPr>
              <w:spacing w:after="0" w:before="0" w:line="252"/>
            </w:pPr>
            <w:r>
              <w:rPr>
                <w:rFonts w:ascii="Calibri" w:cs="Calibri" w:eastAsia="Calibri" w:hAnsi="Calibri"/>
                <w:sz w:val="18"/>
                <w:szCs w:val="18"/>
              </w:rPr>
              <w:t xml:space="preserve">Customer-managed keys</w:t>
            </w:r>
          </w:p>
        </w:tc>
      </w:tr>
      <w:tr>
        <w:trPr>
          <w:cantSplit/>
          <w:tblHeader w:val="false"/>
        </w:trPr>
        <w:tc>
          <w:tcPr>
            <w:tcW w:type="dxa" w:w="2068"/>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Human approvals and tiers</w:t>
            </w:r>
          </w:p>
        </w:tc>
        <w:tc>
          <w:tcPr>
            <w:tcW w:type="dxa" w:w="7292"/>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Independence, engagement terms and partner approval stay human. The setup write is gated, and the partner’s approval is bound to the exact request and expires at the end of the business day.</w:t>
            </w:r>
          </w:p>
        </w:tc>
      </w:tr>
      <w:tr>
        <w:trPr>
          <w:cantSplit/>
          <w:tblHeader w:val="false"/>
        </w:trPr>
        <w:tc>
          <w:tcPr>
            <w:tcW w:type="dxa" w:w="2068"/>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Observability and audit</w:t>
            </w:r>
          </w:p>
        </w:tc>
        <w:tc>
          <w:tcPr>
            <w:tcW w:type="dxa" w:w="7292"/>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OpenTelemetry traces for every hop under one engagement correlation ID, feeding the firm’s SIEM and an operations dashboard.</w:t>
            </w:r>
            <w:hyperlink w:history="1" w:anchor="en_94">
              <w:r>
                <w:rPr>
                  <w:rFonts w:ascii="Calibri" w:cs="Calibri" w:eastAsia="Calibri" w:hAnsi="Calibri"/>
                  <w:color w:val="0369A1"/>
                  <w:sz w:val="18"/>
                  <w:szCs w:val="18"/>
                  <w:vertAlign w:val="superscript"/>
                </w:rPr>
                <w:t xml:space="preserve">94</w:t>
              </w:r>
            </w:hyperlink>
          </w:p>
        </w:tc>
      </w:tr>
    </w:tbl>
    <w:p>
      <w:pPr>
        <w:spacing w:after="120"/>
      </w:pPr>
    </w:p>
    <w:p>
      <w:pPr>
        <w:pStyle w:val="Heading3"/>
        <w:keepNext/>
      </w:pPr>
      <w:r>
        <w:rPr>
          <w:rFonts w:ascii="Calibri" w:cs="Calibri" w:eastAsia="Calibri" w:hAnsi="Calibri"/>
        </w:rPr>
        <w:t xml:space="preserve">Design review against the firm’s framework</w:t>
      </w:r>
    </w:p>
    <w:tbl>
      <w:tblPr>
        <w:tblW w:type="dxa" w:w="9360"/>
        <w:tblBorders>
          <w:top w:val="single" w:color="CBD5E1" w:sz="4"/>
          <w:left w:val="single" w:color="CBD5E1" w:sz="4"/>
          <w:bottom w:val="single" w:color="CBD5E1" w:sz="4"/>
          <w:right w:val="single" w:color="CBD5E1" w:sz="4"/>
          <w:insideH w:val="single" w:color="CBD5E1" w:sz="4"/>
          <w:insideV w:val="single" w:color="CBD5E1" w:sz="4"/>
        </w:tblBorders>
        <w:tblLayout w:type="fixed"/>
      </w:tblPr>
      <w:tblGrid>
        <w:gridCol w:w="3905"/>
        <w:gridCol w:w="912"/>
        <w:gridCol w:w="4543"/>
      </w:tblGrid>
      <w:tr>
        <w:trPr>
          <w:cantSplit/>
          <w:tblHeader/>
        </w:trPr>
        <w:tc>
          <w:tcPr>
            <w:tcW w:type="dxa" w:w="3905"/>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Check</w:t>
            </w:r>
          </w:p>
        </w:tc>
        <w:tc>
          <w:tcPr>
            <w:tcW w:type="dxa" w:w="912"/>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Result</w:t>
            </w:r>
          </w:p>
        </w:tc>
        <w:tc>
          <w:tcPr>
            <w:tcW w:type="dxa" w:w="4543"/>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Evidence</w:t>
            </w:r>
          </w:p>
        </w:tc>
      </w:tr>
      <w:tr>
        <w:trPr>
          <w:cantSplit/>
          <w:tblHeader w:val="false"/>
        </w:trPr>
        <w:tc>
          <w:tcPr>
            <w:tcW w:type="dxa" w:w="3905"/>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Every agent has an owner, a sponsor, a risk tier and an identity of its own</w:t>
            </w:r>
          </w:p>
        </w:tc>
        <w:tc>
          <w:tcPr>
            <w:tcW w:type="dxa" w:w="912"/>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Yes</w:t>
            </w:r>
          </w:p>
        </w:tc>
        <w:tc>
          <w:tcPr>
            <w:tcW w:type="dxa" w:w="4543"/>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Seven launch agents, each with an owner, a sponsor, a tier and its own workload identity (T3d, T5)</w:t>
            </w:r>
          </w:p>
        </w:tc>
      </w:tr>
      <w:tr>
        <w:trPr>
          <w:cantSplit/>
          <w:tblHeader w:val="false"/>
        </w:trPr>
        <w:tc>
          <w:tcPr>
            <w:tcW w:type="dxa" w:w="3905"/>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Each agent’s tool access is least-privilege and allow-listed</w:t>
            </w:r>
          </w:p>
        </w:tc>
        <w:tc>
          <w:tcPr>
            <w:tcW w:type="dxa" w:w="912"/>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Yes</w:t>
            </w:r>
          </w:p>
        </w:tc>
        <w:tc>
          <w:tcPr>
            <w:tcW w:type="dxa" w:w="4543"/>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Allow-lists per agent and separate read and write tools (T5)</w:t>
            </w:r>
          </w:p>
        </w:tc>
      </w:tr>
      <w:tr>
        <w:trPr>
          <w:cantSplit/>
          <w:tblHeader w:val="false"/>
        </w:trPr>
        <w:tc>
          <w:tcPr>
            <w:tcW w:type="dxa" w:w="3905"/>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Human oversight matches the risk and reversibility of each action</w:t>
            </w:r>
          </w:p>
        </w:tc>
        <w:tc>
          <w:tcPr>
            <w:tcW w:type="dxa" w:w="912"/>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Yes</w:t>
            </w:r>
          </w:p>
        </w:tc>
        <w:tc>
          <w:tcPr>
            <w:tcW w:type="dxa" w:w="4543"/>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Tier 1 for independence and letters, and the SAP write gated by a bound approval (T5)</w:t>
            </w:r>
          </w:p>
        </w:tc>
      </w:tr>
      <w:tr>
        <w:trPr>
          <w:cantSplit/>
          <w:tblHeader w:val="false"/>
        </w:trPr>
        <w:tc>
          <w:tcPr>
            <w:tcW w:type="dxa" w:w="3905"/>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Agents’ data access is aligned with their users’ access</w:t>
            </w:r>
          </w:p>
        </w:tc>
        <w:tc>
          <w:tcPr>
            <w:tcW w:type="dxa" w:w="912"/>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Yes</w:t>
            </w:r>
          </w:p>
        </w:tc>
        <w:tc>
          <w:tcPr>
            <w:tcW w:type="dxa" w:w="4543"/>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On-behalf-of tokens carry the manager’s or partner’s narrowed scopes (T5)</w:t>
            </w:r>
          </w:p>
        </w:tc>
      </w:tr>
      <w:tr>
        <w:trPr>
          <w:cantSplit/>
          <w:tblHeader w:val="false"/>
        </w:trPr>
        <w:tc>
          <w:tcPr>
            <w:tcW w:type="dxa" w:w="3905"/>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Only trusted, registered MCP and A2A servers are reachable</w:t>
            </w:r>
          </w:p>
        </w:tc>
        <w:tc>
          <w:tcPr>
            <w:tcW w:type="dxa" w:w="912"/>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Partly</w:t>
            </w:r>
          </w:p>
        </w:tc>
        <w:tc>
          <w:tcPr>
            <w:tcW w:type="dxa" w:w="4543"/>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Registry and gateway from phase 1, with version pinning for MCP servers to be set up in phase 1</w:t>
            </w:r>
          </w:p>
        </w:tc>
      </w:tr>
      <w:tr>
        <w:trPr>
          <w:cantSplit/>
          <w:tblHeader w:val="false"/>
        </w:trPr>
        <w:tc>
          <w:tcPr>
            <w:tcW w:type="dxa" w:w="3905"/>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New policies start in audit mode, then enforce</w:t>
            </w:r>
          </w:p>
        </w:tc>
        <w:tc>
          <w:tcPr>
            <w:tcW w:type="dxa" w:w="912"/>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Yes</w:t>
            </w:r>
          </w:p>
        </w:tc>
        <w:tc>
          <w:tcPr>
            <w:tcW w:type="dxa" w:w="4543"/>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Routing and masking policies start in audit mode in the phase 1 scope, then enforce</w:t>
            </w:r>
          </w:p>
        </w:tc>
      </w:tr>
      <w:tr>
        <w:trPr>
          <w:cantSplit/>
          <w:tblHeader w:val="false"/>
        </w:trPr>
        <w:tc>
          <w:tcPr>
            <w:tcW w:type="dxa" w:w="3905"/>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Agent reasoning, tool calls and hand-offs are traced end to end</w:t>
            </w:r>
          </w:p>
        </w:tc>
        <w:tc>
          <w:tcPr>
            <w:tcW w:type="dxa" w:w="912"/>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Yes</w:t>
            </w:r>
          </w:p>
        </w:tc>
        <w:tc>
          <w:tcPr>
            <w:tcW w:type="dxa" w:w="4543"/>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One engagement correlation ID across every hop (OR-01)</w:t>
            </w:r>
          </w:p>
        </w:tc>
      </w:tr>
      <w:tr>
        <w:trPr>
          <w:cantSplit/>
          <w:tblHeader w:val="false"/>
        </w:trPr>
        <w:tc>
          <w:tcPr>
            <w:tcW w:type="dxa" w:w="3905"/>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Agent costs are tagged to cost centers, with alerts as spend nears budget</w:t>
            </w:r>
          </w:p>
        </w:tc>
        <w:tc>
          <w:tcPr>
            <w:tcW w:type="dxa" w:w="912"/>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Yes</w:t>
            </w:r>
          </w:p>
        </w:tc>
        <w:tc>
          <w:tcPr>
            <w:tcW w:type="dxa" w:w="4543"/>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Token budget per launch and spend attributed to each engagement (NFR-02)</w:t>
            </w:r>
          </w:p>
        </w:tc>
      </w:tr>
      <w:tr>
        <w:trPr>
          <w:cantSplit/>
          <w:tblHeader w:val="false"/>
        </w:trPr>
        <w:tc>
          <w:tcPr>
            <w:tcW w:type="dxa" w:w="3905"/>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Adversarial testing runs before release and on a schedule</w:t>
            </w:r>
          </w:p>
        </w:tc>
        <w:tc>
          <w:tcPr>
            <w:tcW w:type="dxa" w:w="912"/>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Partly</w:t>
            </w:r>
          </w:p>
        </w:tc>
        <w:tc>
          <w:tcPr>
            <w:tcW w:type="dxa" w:w="4543"/>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Evaluation suites before promotion (OR-02)</w:t>
            </w:r>
          </w:p>
          <w:p>
            <w:pPr>
              <w:spacing w:after="0" w:before="0" w:line="252"/>
            </w:pPr>
            <w:r>
              <w:rPr>
                <w:rFonts w:ascii="Calibri" w:cs="Calibri" w:eastAsia="Calibri" w:hAnsi="Calibri"/>
                <w:sz w:val="18"/>
                <w:szCs w:val="18"/>
              </w:rPr>
              <w:t xml:space="preserve">The red-team schedule is to be agreed with the CISO</w:t>
            </w:r>
          </w:p>
        </w:tc>
      </w:tr>
      <w:tr>
        <w:trPr>
          <w:cantSplit/>
          <w:tblHeader w:val="false"/>
        </w:trPr>
        <w:tc>
          <w:tcPr>
            <w:tcW w:type="dxa" w:w="3905"/>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There is a tested way to disable a misbehaving agent and hand over its work</w:t>
            </w:r>
          </w:p>
        </w:tc>
        <w:tc>
          <w:tcPr>
            <w:tcW w:type="dxa" w:w="912"/>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Yes</w:t>
            </w:r>
          </w:p>
        </w:tc>
        <w:tc>
          <w:tcPr>
            <w:tcW w:type="dxa" w:w="4543"/>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Kill switch and takeover runbook drilled before tier 3 (T5, OR-03)</w:t>
            </w:r>
          </w:p>
        </w:tc>
      </w:tr>
    </w:tbl>
    <w:p>
      <w:pPr>
        <w:spacing w:after="120"/>
      </w:pPr>
    </w:p>
    <w:p>
      <w:pPr>
        <w:keepNext/>
        <w:spacing w:after="60" w:before="120" w:line="240" w:lineRule="auto"/>
        <w:jc w:val="center"/>
      </w:pPr>
      <w:r>
        <w:drawing>
          <wp:inline distT="0" distB="0" distL="0" distR="0">
            <wp:extent cx="5943600" cy="6934200"/>
            <wp:effectExtent t="0" r="0" b="0" l="0"/>
            <wp:docPr id="7" name="Figure 11" descr="Use case 1 vendor-neutral solution architecture" title="Fig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 descr=""/>
                    <pic:cNvPicPr>
                      <a:picLocks noChangeAspect="1" noChangeArrowheads="1"/>
                    </pic:cNvPicPr>
                  </pic:nvPicPr>
                  <pic:blipFill>
                    <a:blip r:embed="rId17" cstate="none"/>
                    <a:srcRect/>
                    <a:stretch>
                      <a:fillRect/>
                    </a:stretch>
                  </pic:blipFill>
                  <pic:spPr bwMode="auto">
                    <a:xfrm>
                      <a:off x="0" y="0"/>
                      <a:ext cx="5943600" cy="6934200"/>
                    </a:xfrm>
                    <a:prstGeom prst="rect">
                      <a:avLst/>
                    </a:prstGeom>
                  </pic:spPr>
                </pic:pic>
              </a:graphicData>
            </a:graphic>
          </wp:inline>
        </w:drawing>
      </w:r>
    </w:p>
    <w:p>
      <w:pPr>
        <w:spacing w:after="240"/>
      </w:pPr>
      <w:r>
        <w:rPr>
          <w:rFonts w:ascii="Calibri" w:cs="Calibri" w:eastAsia="Calibri" w:hAnsi="Calibri"/>
          <w:i/>
          <w:iCs/>
          <w:color w:val="64748B"/>
          <w:sz w:val="18"/>
          <w:szCs w:val="18"/>
        </w:rPr>
        <w:t xml:space="preserve">Figure 11. Use case 1 vendor-neutral solution architecture. Only the systems of record are named products (handbook </w:t>
      </w:r>
      <w:hyperlink w:history="1" r:id="rIdipjgqp1-97jyifyhzgtm_">
        <w:r>
          <w:rPr>
            <w:rFonts w:ascii="Calibri" w:cs="Calibri" w:eastAsia="Calibri" w:hAnsi="Calibri"/>
            <w:i/>
            <w:iCs/>
            <w:color w:val="0369A1"/>
            <w:sz w:val="18"/>
            <w:szCs w:val="18"/>
            <w:u w:val="single"/>
          </w:rPr>
          <w:t xml:space="preserve">Figure 9</w:t>
        </w:r>
      </w:hyperlink>
      <w:r>
        <w:rPr>
          <w:rFonts w:ascii="Calibri" w:cs="Calibri" w:eastAsia="Calibri" w:hAnsi="Calibri"/>
          <w:i/>
          <w:iCs/>
          <w:color w:val="64748B"/>
          <w:sz w:val="18"/>
          <w:szCs w:val="18"/>
        </w:rPr>
        <w:t xml:space="preserve">).</w:t>
      </w:r>
    </w:p>
    <w:tbl>
      <w:tblPr>
        <w:tblW w:type="dxa" w:w="9360"/>
        <w:tblBorders>
          <w:top w:val="single" w:color="CBD5E1" w:sz="4"/>
          <w:left w:val="single" w:color="CBD5E1" w:sz="4"/>
          <w:bottom w:val="single" w:color="CBD5E1" w:sz="4"/>
          <w:right w:val="single" w:color="CBD5E1" w:sz="4"/>
          <w:insideH w:val="single" w:color="CBD5E1" w:sz="4"/>
          <w:insideV w:val="single" w:color="CBD5E1" w:sz="4"/>
        </w:tblBorders>
        <w:tblLayout w:type="fixed"/>
      </w:tblPr>
      <w:tblGrid>
        <w:gridCol w:w="9360"/>
      </w:tblGrid>
      <w:tr>
        <w:trPr>
          <w:cantSplit/>
        </w:trPr>
        <w:tc>
          <w:tcPr>
            <w:tcW w:type="dxa" w:w="9360"/>
            <w:shd w:fill="F1F5F9" w:color="auto" w:val="clear"/>
            <w:tcMar>
              <w:top w:type="dxa" w:w="140"/>
              <w:left w:type="dxa" w:w="200"/>
              <w:bottom w:type="dxa" w:w="140"/>
              <w:right w:type="dxa" w:w="200"/>
            </w:tcMar>
          </w:tcPr>
          <w:p>
            <w:pPr>
              <w:spacing w:after="100"/>
            </w:pPr>
            <w:r>
              <w:rPr>
                <w:rFonts w:ascii="Calibri" w:cs="Calibri" w:eastAsia="Calibri" w:hAnsi="Calibri"/>
                <w:b/>
                <w:bCs/>
                <w:color w:val="1E293B"/>
                <w:sz w:val="22"/>
                <w:szCs w:val="22"/>
              </w:rPr>
              <w:t xml:space="preserve">Why it is filled this way</w:t>
            </w:r>
          </w:p>
          <w:p>
            <w:pPr>
              <w:spacing w:after="80"/>
            </w:pPr>
            <w:r>
              <w:rPr>
                <w:rFonts w:ascii="Calibri" w:cs="Calibri" w:eastAsia="Calibri" w:hAnsi="Calibri"/>
                <w:sz w:val="20"/>
                <w:szCs w:val="20"/>
              </w:rPr>
              <w:t xml:space="preserve">The regulated sequence is deterministic and is not left to model reasoning. There is no letter before independence is cleared, and nothing is written to SAP before the partner and the client have approved. Models reason inside steps and never skip a gate.</w:t>
            </w:r>
          </w:p>
          <w:p>
            <w:pPr>
              <w:spacing w:after="80"/>
            </w:pPr>
            <w:r>
              <w:rPr>
                <w:rFonts w:ascii="Calibri" w:cs="Calibri" w:eastAsia="Calibri" w:hAnsi="Calibri"/>
                <w:sz w:val="20"/>
                <w:szCs w:val="20"/>
              </w:rPr>
              <w:t xml:space="preserve">Data governance is a layer of its own because independence checks are only as good as the entity data behind them.</w:t>
            </w:r>
          </w:p>
          <w:p>
            <w:pPr>
              <w:spacing w:after="80"/>
            </w:pPr>
            <w:r>
              <w:rPr>
                <w:rFonts w:ascii="Calibri" w:cs="Calibri" w:eastAsia="Calibri" w:hAnsi="Calibri"/>
                <w:sz w:val="20"/>
                <w:szCs w:val="20"/>
              </w:rPr>
              <w:t xml:space="preserve">Only systems of record are named. Everything else stays vendor-neutral until T10.</w:t>
            </w:r>
          </w:p>
          <w:p>
            <w:pPr>
              <w:spacing w:after="80"/>
            </w:pPr>
            <w:r>
              <w:rPr>
                <w:rFonts w:ascii="Calibri" w:cs="Calibri" w:eastAsia="Calibri" w:hAnsi="Calibri"/>
                <w:sz w:val="20"/>
                <w:szCs w:val="20"/>
              </w:rPr>
              <w:t xml:space="preserve">The design review found two gaps to close in phase 1: version pinning for MCP servers and an agreed red-team schedule.</w:t>
            </w:r>
          </w:p>
        </w:tc>
      </w:tr>
    </w:tbl>
    <w:p>
      <w:pPr>
        <w:spacing w:after="120"/>
      </w:pPr>
    </w:p>
    <w:p>
      <w:pPr>
        <w:pStyle w:val="Heading2"/>
        <w:keepNext/>
        <w:pageBreakBefore/>
      </w:pPr>
      <w:bookmarkStart w:name="p2_T8" w:id="24"/>
      <w:r>
        <w:rPr>
          <w:rFonts w:ascii="Calibri" w:cs="Calibri" w:eastAsia="Calibri" w:hAnsi="Calibri"/>
        </w:rPr>
        <w:t xml:space="preserve">T8 filled: a day in the life</w:t>
      </w:r>
      <w:bookmarkEnd w:id="24"/>
    </w:p>
    <w:tbl>
      <w:tblPr>
        <w:tblW w:type="dxa" w:w="9360"/>
        <w:tblBorders>
          <w:top w:val="single" w:color="CBD5E1" w:sz="4"/>
          <w:left w:val="single" w:color="CBD5E1" w:sz="4"/>
          <w:bottom w:val="single" w:color="CBD5E1" w:sz="4"/>
          <w:right w:val="single" w:color="CBD5E1" w:sz="4"/>
          <w:insideH w:val="single" w:color="CBD5E1" w:sz="4"/>
          <w:insideV w:val="single" w:color="CBD5E1" w:sz="4"/>
        </w:tblBorders>
        <w:tblLayout w:type="fixed"/>
      </w:tblPr>
      <w:tblGrid>
        <w:gridCol w:w="1720"/>
        <w:gridCol w:w="7640"/>
      </w:tblGrid>
      <w:tr>
        <w:trPr>
          <w:cantSplit/>
          <w:tblHeader w:val="false"/>
        </w:trPr>
        <w:tc>
          <w:tcPr>
            <w:tcW w:type="dxa" w:w="1720"/>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Persona</w:t>
            </w:r>
          </w:p>
        </w:tc>
        <w:tc>
          <w:tcPr>
            <w:tcW w:type="dxa" w:w="76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Maya Chen, engagement manager in the advisory practice, launching Project Atlas for a new client</w:t>
            </w:r>
          </w:p>
        </w:tc>
      </w:tr>
      <w:tr>
        <w:trPr>
          <w:cantSplit/>
          <w:tblHeader w:val="false"/>
        </w:trPr>
        <w:tc>
          <w:tcPr>
            <w:tcW w:type="dxa" w:w="1720"/>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The case</w:t>
            </w:r>
          </w:p>
        </w:tc>
        <w:tc>
          <w:tcPr>
            <w:tcW w:type="dxa" w:w="76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Project Atlas, a new client that turns out to be a subsidiary of a group whose parent is an audit client (illustrative)</w:t>
            </w:r>
          </w:p>
        </w:tc>
      </w:tr>
    </w:tbl>
    <w:p>
      <w:pPr>
        <w:spacing w:after="120"/>
      </w:pPr>
    </w:p>
    <w:tbl>
      <w:tblPr>
        <w:tblW w:type="dxa" w:w="9360"/>
        <w:tblBorders>
          <w:top w:val="single" w:color="CBD5E1" w:sz="4"/>
          <w:left w:val="single" w:color="CBD5E1" w:sz="4"/>
          <w:bottom w:val="single" w:color="CBD5E1" w:sz="4"/>
          <w:right w:val="single" w:color="CBD5E1" w:sz="4"/>
          <w:insideH w:val="single" w:color="CBD5E1" w:sz="4"/>
          <w:insideV w:val="single" w:color="CBD5E1" w:sz="4"/>
        </w:tblBorders>
        <w:tblLayout w:type="fixed"/>
      </w:tblPr>
      <w:tblGrid>
        <w:gridCol w:w="800"/>
        <w:gridCol w:w="1440"/>
        <w:gridCol w:w="5751"/>
        <w:gridCol w:w="1369"/>
      </w:tblGrid>
      <w:tr>
        <w:trPr>
          <w:cantSplit/>
          <w:tblHeader/>
        </w:trPr>
        <w:tc>
          <w:tcPr>
            <w:tcW w:type="dxa" w:w="800"/>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Time</w:t>
            </w:r>
          </w:p>
        </w:tc>
        <w:tc>
          <w:tcPr>
            <w:tcW w:type="dxa" w:w="1440"/>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Moment</w:t>
            </w:r>
          </w:p>
        </w:tc>
        <w:tc>
          <w:tcPr>
            <w:tcW w:type="dxa" w:w="5751"/>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What happens</w:t>
            </w:r>
          </w:p>
        </w:tc>
        <w:tc>
          <w:tcPr>
            <w:tcW w:type="dxa" w:w="1369"/>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Who decides</w:t>
            </w:r>
          </w:p>
        </w:tc>
      </w:tr>
      <w:tr>
        <w:trPr>
          <w:cantSplit/>
          <w:tblHeader w:val="false"/>
        </w:trPr>
        <w:tc>
          <w:tcPr>
            <w:tcW w:type="dxa" w:w="800"/>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08:05</w:t>
            </w:r>
          </w:p>
        </w:tc>
        <w:tc>
          <w:tcPr>
            <w:tcW w:type="dxa" w:w="14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Verbal win</w:t>
            </w:r>
          </w:p>
        </w:tc>
        <w:tc>
          <w:tcPr>
            <w:tcW w:type="dxa" w:w="5751"/>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The CRM opportunity for Project Atlas moves to verbal win. Within a minute Maya’s chat copilot shows a launch plan targeting ready-to-charge in two days.</w:t>
            </w:r>
          </w:p>
        </w:tc>
        <w:tc>
          <w:tcPr>
            <w:tcW w:type="dxa" w:w="1369"/>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No</w:t>
            </w:r>
          </w:p>
        </w:tc>
      </w:tr>
      <w:tr>
        <w:trPr>
          <w:cantSplit/>
          <w:tblHeader w:val="false"/>
        </w:trPr>
        <w:tc>
          <w:tcPr>
            <w:tcW w:type="dxa" w:w="800"/>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08:12</w:t>
            </w:r>
          </w:p>
        </w:tc>
        <w:tc>
          <w:tcPr>
            <w:tcW w:type="dxa" w:w="14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Client resolved</w:t>
            </w:r>
          </w:p>
        </w:tc>
        <w:tc>
          <w:tcPr>
            <w:tcW w:type="dxa" w:w="5751"/>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The entity-resolution agent matches the client to its golden record and finds that it is a subsidiary of a group whose parent is an audit client. An enhanced independence review starts automatically.</w:t>
            </w:r>
          </w:p>
        </w:tc>
        <w:tc>
          <w:tcPr>
            <w:tcW w:type="dxa" w:w="1369"/>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No</w:t>
            </w:r>
          </w:p>
        </w:tc>
      </w:tr>
      <w:tr>
        <w:trPr>
          <w:cantSplit/>
          <w:tblHeader w:val="false"/>
        </w:trPr>
        <w:tc>
          <w:tcPr>
            <w:tcW w:type="dxa" w:w="800"/>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09:40</w:t>
            </w:r>
          </w:p>
        </w:tc>
        <w:tc>
          <w:tcPr>
            <w:tcW w:type="dxa" w:w="14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Independence cleared</w:t>
            </w:r>
          </w:p>
        </w:tc>
        <w:tc>
          <w:tcPr>
            <w:tcW w:type="dxa" w:w="5751"/>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 reviewer in Risk &amp; Quality approves the engagement with one condition: no work on financial-reporting systems.</w:t>
            </w:r>
          </w:p>
        </w:tc>
        <w:tc>
          <w:tcPr>
            <w:tcW w:type="dxa" w:w="1369"/>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Yes: Risk decides</w:t>
            </w:r>
          </w:p>
        </w:tc>
      </w:tr>
      <w:tr>
        <w:trPr>
          <w:cantSplit/>
          <w:tblHeader w:val="false"/>
        </w:trPr>
        <w:tc>
          <w:tcPr>
            <w:tcW w:type="dxa" w:w="800"/>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10:30</w:t>
            </w:r>
          </w:p>
        </w:tc>
        <w:tc>
          <w:tcPr>
            <w:tcW w:type="dxa" w:w="14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Letter drafted</w:t>
            </w:r>
          </w:p>
        </w:tc>
        <w:tc>
          <w:tcPr>
            <w:tcW w:type="dxa" w:w="5751"/>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The scoping agent drafts the engagement letter with the carve-out, and Maya rewrites two paragraphs.</w:t>
            </w:r>
          </w:p>
        </w:tc>
        <w:tc>
          <w:tcPr>
            <w:tcW w:type="dxa" w:w="1369"/>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Yes: Maya edits</w:t>
            </w:r>
          </w:p>
        </w:tc>
      </w:tr>
      <w:tr>
        <w:trPr>
          <w:cantSplit/>
          <w:tblHeader w:val="false"/>
        </w:trPr>
        <w:tc>
          <w:tcPr>
            <w:tcW w:type="dxa" w:w="800"/>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11:20</w:t>
            </w:r>
          </w:p>
        </w:tc>
        <w:tc>
          <w:tcPr>
            <w:tcW w:type="dxa" w:w="14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Budget ready</w:t>
            </w:r>
          </w:p>
        </w:tc>
        <w:tc>
          <w:tcPr>
            <w:tcW w:type="dxa" w:w="5751"/>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The pricing agent’s budget arrives with a 31% margin against a 30% target.</w:t>
            </w:r>
          </w:p>
        </w:tc>
        <w:tc>
          <w:tcPr>
            <w:tcW w:type="dxa" w:w="1369"/>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Yes: Maya accepts</w:t>
            </w:r>
          </w:p>
        </w:tc>
      </w:tr>
      <w:tr>
        <w:trPr>
          <w:cantSplit/>
          <w:tblHeader w:val="false"/>
        </w:trPr>
        <w:tc>
          <w:tcPr>
            <w:tcW w:type="dxa" w:w="800"/>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13:05</w:t>
            </w:r>
          </w:p>
        </w:tc>
        <w:tc>
          <w:tcPr>
            <w:tcW w:type="dxa" w:w="14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Team proposed</w:t>
            </w:r>
          </w:p>
        </w:tc>
        <w:tc>
          <w:tcPr>
            <w:tcW w:type="dxa" w:w="5751"/>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The staffing agent proposes a team of five, having already replaced a consultant who is not independence-cleared for this client. Maya sees only that a substitution was required, not why.</w:t>
            </w:r>
          </w:p>
        </w:tc>
        <w:tc>
          <w:tcPr>
            <w:tcW w:type="dxa" w:w="1369"/>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Yes: Maya confirms</w:t>
            </w:r>
          </w:p>
        </w:tc>
      </w:tr>
      <w:tr>
        <w:trPr>
          <w:cantSplit/>
          <w:tblHeader w:val="false"/>
        </w:trPr>
        <w:tc>
          <w:tcPr>
            <w:tcW w:type="dxa" w:w="800"/>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14:30</w:t>
            </w:r>
          </w:p>
        </w:tc>
        <w:tc>
          <w:tcPr>
            <w:tcW w:type="dxa" w:w="14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Partner approves</w:t>
            </w:r>
          </w:p>
        </w:tc>
        <w:tc>
          <w:tcPr>
            <w:tcW w:type="dxa" w:w="5751"/>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The partner approves the letter and budget on mobile with step-up authentication, and the letter goes to the client for signature.</w:t>
            </w:r>
          </w:p>
        </w:tc>
        <w:tc>
          <w:tcPr>
            <w:tcW w:type="dxa" w:w="1369"/>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Yes: partner approves</w:t>
            </w:r>
          </w:p>
        </w:tc>
      </w:tr>
      <w:tr>
        <w:trPr>
          <w:cantSplit/>
          <w:tblHeader w:val="false"/>
        </w:trPr>
        <w:tc>
          <w:tcPr>
            <w:tcW w:type="dxa" w:w="800"/>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16:10</w:t>
            </w:r>
          </w:p>
        </w:tc>
        <w:tc>
          <w:tcPr>
            <w:tcW w:type="dxa" w:w="14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Ready to charge</w:t>
            </w:r>
          </w:p>
        </w:tc>
        <w:tc>
          <w:tcPr>
            <w:tcW w:type="dxa" w:w="5751"/>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Once the client signs, the setup agent creates the SAP project, WBS and billing plan, and the team receives charge codes. What used to take two weeks finished the same day.</w:t>
            </w:r>
          </w:p>
        </w:tc>
        <w:tc>
          <w:tcPr>
            <w:tcW w:type="dxa" w:w="1369"/>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Client signs</w:t>
            </w:r>
          </w:p>
          <w:p>
            <w:pPr>
              <w:spacing w:after="0" w:before="0" w:line="252"/>
            </w:pPr>
            <w:r>
              <w:rPr>
                <w:rFonts w:ascii="Calibri" w:cs="Calibri" w:eastAsia="Calibri" w:hAnsi="Calibri"/>
                <w:sz w:val="18"/>
                <w:szCs w:val="18"/>
              </w:rPr>
              <w:t xml:space="preserve">Setup gated by policy</w:t>
            </w:r>
          </w:p>
        </w:tc>
      </w:tr>
    </w:tbl>
    <w:p>
      <w:pPr>
        <w:spacing w:after="120"/>
      </w:pPr>
    </w:p>
    <w:p>
      <w:pPr>
        <w:keepNext/>
        <w:spacing w:after="60" w:before="120" w:line="240" w:lineRule="auto"/>
        <w:jc w:val="center"/>
      </w:pPr>
      <w:r>
        <w:drawing>
          <wp:inline distT="0" distB="0" distL="0" distR="0">
            <wp:extent cx="5943600" cy="3686175"/>
            <wp:effectExtent t="0" r="0" b="0" l="0"/>
            <wp:docPr id="8" name="Figure 12" descr="A day in the life of an engagement manager" title="Fig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 descr=""/>
                    <pic:cNvPicPr>
                      <a:picLocks noChangeAspect="1" noChangeArrowheads="1"/>
                    </pic:cNvPicPr>
                  </pic:nvPicPr>
                  <pic:blipFill>
                    <a:blip r:embed="rId18" cstate="none"/>
                    <a:srcRect/>
                    <a:stretch>
                      <a:fillRect/>
                    </a:stretch>
                  </pic:blipFill>
                  <pic:spPr bwMode="auto">
                    <a:xfrm>
                      <a:off x="0" y="0"/>
                      <a:ext cx="5943600" cy="3686175"/>
                    </a:xfrm>
                    <a:prstGeom prst="rect">
                      <a:avLst/>
                    </a:prstGeom>
                  </pic:spPr>
                </pic:pic>
              </a:graphicData>
            </a:graphic>
          </wp:inline>
        </w:drawing>
      </w:r>
    </w:p>
    <w:p>
      <w:pPr>
        <w:spacing w:after="240"/>
      </w:pPr>
      <w:r>
        <w:rPr>
          <w:rFonts w:ascii="Calibri" w:cs="Calibri" w:eastAsia="Calibri" w:hAnsi="Calibri"/>
          <w:i/>
          <w:iCs/>
          <w:color w:val="64748B"/>
          <w:sz w:val="18"/>
          <w:szCs w:val="18"/>
        </w:rPr>
        <w:t xml:space="preserve">Figure 12. A day in the life of an engagement manager launching Project Atlas (illustrative; handbook </w:t>
      </w:r>
      <w:hyperlink w:history="1" r:id="rIdbhg8jbkibllmexalupas1">
        <w:r>
          <w:rPr>
            <w:rFonts w:ascii="Calibri" w:cs="Calibri" w:eastAsia="Calibri" w:hAnsi="Calibri"/>
            <w:i/>
            <w:iCs/>
            <w:color w:val="0369A1"/>
            <w:sz w:val="18"/>
            <w:szCs w:val="18"/>
            <w:u w:val="single"/>
          </w:rPr>
          <w:t xml:space="preserve">Figure 10</w:t>
        </w:r>
      </w:hyperlink>
      <w:r>
        <w:rPr>
          <w:rFonts w:ascii="Calibri" w:cs="Calibri" w:eastAsia="Calibri" w:hAnsi="Calibri"/>
          <w:i/>
          <w:iCs/>
          <w:color w:val="64748B"/>
          <w:sz w:val="18"/>
          <w:szCs w:val="18"/>
        </w:rPr>
        <w:t xml:space="preserve">).</w:t>
      </w:r>
    </w:p>
    <w:tbl>
      <w:tblPr>
        <w:tblW w:type="dxa" w:w="9360"/>
        <w:tblBorders>
          <w:top w:val="single" w:color="CBD5E1" w:sz="4"/>
          <w:left w:val="single" w:color="CBD5E1" w:sz="4"/>
          <w:bottom w:val="single" w:color="CBD5E1" w:sz="4"/>
          <w:right w:val="single" w:color="CBD5E1" w:sz="4"/>
          <w:insideH w:val="single" w:color="CBD5E1" w:sz="4"/>
          <w:insideV w:val="single" w:color="CBD5E1" w:sz="4"/>
        </w:tblBorders>
        <w:tblLayout w:type="fixed"/>
      </w:tblPr>
      <w:tblGrid>
        <w:gridCol w:w="9360"/>
      </w:tblGrid>
      <w:tr>
        <w:trPr>
          <w:cantSplit/>
        </w:trPr>
        <w:tc>
          <w:tcPr>
            <w:tcW w:type="dxa" w:w="9360"/>
            <w:shd w:fill="F1F5F9" w:color="auto" w:val="clear"/>
            <w:tcMar>
              <w:top w:type="dxa" w:w="140"/>
              <w:left w:type="dxa" w:w="200"/>
              <w:bottom w:type="dxa" w:w="140"/>
              <w:right w:type="dxa" w:w="200"/>
            </w:tcMar>
          </w:tcPr>
          <w:p>
            <w:pPr>
              <w:spacing w:after="100"/>
            </w:pPr>
            <w:r>
              <w:rPr>
                <w:rFonts w:ascii="Calibri" w:cs="Calibri" w:eastAsia="Calibri" w:hAnsi="Calibri"/>
                <w:b/>
                <w:bCs/>
                <w:color w:val="1E293B"/>
                <w:sz w:val="22"/>
                <w:szCs w:val="22"/>
              </w:rPr>
              <w:t xml:space="preserve">Why it is filled this way</w:t>
            </w:r>
          </w:p>
          <w:p>
            <w:pPr>
              <w:spacing w:after="80"/>
            </w:pPr>
            <w:r>
              <w:rPr>
                <w:rFonts w:ascii="Calibri" w:cs="Calibri" w:eastAsia="Calibri" w:hAnsi="Calibri"/>
                <w:sz w:val="20"/>
                <w:szCs w:val="20"/>
              </w:rPr>
              <w:t xml:space="preserve">The story includes one moment where a control changes the outcome, and it is the moment a CTO remembers: the entity-resolution agent finds the audit-client parent, which starts an enhanced review.</w:t>
            </w:r>
          </w:p>
          <w:p>
            <w:pPr>
              <w:spacing w:after="80"/>
            </w:pPr>
            <w:r>
              <w:rPr>
                <w:rFonts w:ascii="Calibri" w:cs="Calibri" w:eastAsia="Calibri" w:hAnsi="Calibri"/>
                <w:sz w:val="20"/>
                <w:szCs w:val="20"/>
              </w:rPr>
              <w:t xml:space="preserve">Maya sees only that a substitution was required, so the story shows data minimization without a lecture.</w:t>
            </w:r>
          </w:p>
          <w:p>
            <w:pPr>
              <w:spacing w:after="80"/>
            </w:pPr>
            <w:r>
              <w:rPr>
                <w:rFonts w:ascii="Calibri" w:cs="Calibri" w:eastAsia="Calibri" w:hAnsi="Calibri"/>
                <w:sz w:val="20"/>
                <w:szCs w:val="20"/>
              </w:rPr>
              <w:t xml:space="preserve">The day ends in business terms: what used to take two weeks finished the same day.</w:t>
            </w:r>
          </w:p>
        </w:tc>
      </w:tr>
    </w:tbl>
    <w:p>
      <w:pPr>
        <w:spacing w:after="120"/>
      </w:pPr>
    </w:p>
    <w:p>
      <w:pPr>
        <w:pStyle w:val="Heading2"/>
        <w:keepNext/>
        <w:pageBreakBefore/>
      </w:pPr>
      <w:bookmarkStart w:name="p2_T9" w:id="25"/>
      <w:r>
        <w:rPr>
          <w:rFonts w:ascii="Calibri" w:cs="Calibri" w:eastAsia="Calibri" w:hAnsi="Calibri"/>
        </w:rPr>
        <w:t xml:space="preserve">T9 filled: how the components work together</w:t>
      </w:r>
      <w:bookmarkEnd w:id="25"/>
    </w:p>
    <w:tbl>
      <w:tblPr>
        <w:tblW w:type="dxa" w:w="9360"/>
        <w:tblBorders>
          <w:top w:val="single" w:color="CBD5E1" w:sz="4"/>
          <w:left w:val="single" w:color="CBD5E1" w:sz="4"/>
          <w:bottom w:val="single" w:color="CBD5E1" w:sz="4"/>
          <w:right w:val="single" w:color="CBD5E1" w:sz="4"/>
          <w:insideH w:val="single" w:color="CBD5E1" w:sz="4"/>
          <w:insideV w:val="single" w:color="CBD5E1" w:sz="4"/>
        </w:tblBorders>
        <w:tblLayout w:type="fixed"/>
      </w:tblPr>
      <w:tblGrid>
        <w:gridCol w:w="800"/>
        <w:gridCol w:w="1481"/>
        <w:gridCol w:w="4078"/>
        <w:gridCol w:w="3001"/>
      </w:tblGrid>
      <w:tr>
        <w:trPr>
          <w:cantSplit/>
          <w:tblHeader/>
        </w:trPr>
        <w:tc>
          <w:tcPr>
            <w:tcW w:type="dxa" w:w="800"/>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Time</w:t>
            </w:r>
          </w:p>
        </w:tc>
        <w:tc>
          <w:tcPr>
            <w:tcW w:type="dxa" w:w="1481"/>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What happens</w:t>
            </w:r>
          </w:p>
        </w:tc>
        <w:tc>
          <w:tcPr>
            <w:tcW w:type="dxa" w:w="4078"/>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Components and protocols</w:t>
            </w:r>
          </w:p>
        </w:tc>
        <w:tc>
          <w:tcPr>
            <w:tcW w:type="dxa" w:w="3001"/>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Controls applied</w:t>
            </w:r>
          </w:p>
        </w:tc>
      </w:tr>
      <w:tr>
        <w:trPr>
          <w:cantSplit/>
          <w:tblHeader w:val="false"/>
        </w:trPr>
        <w:tc>
          <w:tcPr>
            <w:tcW w:type="dxa" w:w="800"/>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08:05</w:t>
            </w:r>
          </w:p>
        </w:tc>
        <w:tc>
          <w:tcPr>
            <w:tcW w:type="dxa" w:w="1481"/>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Verbal win starts the launch</w:t>
            </w:r>
          </w:p>
        </w:tc>
        <w:tc>
          <w:tcPr>
            <w:tcW w:type="dxa" w:w="407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CRM event triggers the Launch Orchestrator, which registers the plan with a correlation ID</w:t>
            </w:r>
          </w:p>
        </w:tc>
        <w:tc>
          <w:tcPr>
            <w:tcW w:type="dxa" w:w="3001"/>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Orchestrator workload identity</w:t>
            </w:r>
          </w:p>
          <w:p>
            <w:pPr>
              <w:spacing w:after="0" w:before="0" w:line="252"/>
            </w:pPr>
            <w:r>
              <w:rPr>
                <w:rFonts w:ascii="Calibri" w:cs="Calibri" w:eastAsia="Calibri" w:hAnsi="Calibri"/>
                <w:sz w:val="18"/>
                <w:szCs w:val="18"/>
              </w:rPr>
              <w:t xml:space="preserve">Trace starts</w:t>
            </w:r>
          </w:p>
        </w:tc>
      </w:tr>
      <w:tr>
        <w:trPr>
          <w:cantSplit/>
          <w:tblHeader w:val="false"/>
        </w:trPr>
        <w:tc>
          <w:tcPr>
            <w:tcW w:type="dxa" w:w="800"/>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08:12</w:t>
            </w:r>
          </w:p>
        </w:tc>
        <w:tc>
          <w:tcPr>
            <w:tcW w:type="dxa" w:w="1481"/>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Client resolved to its golden record</w:t>
            </w:r>
          </w:p>
        </w:tc>
        <w:tc>
          <w:tcPr>
            <w:tcW w:type="dxa" w:w="4078"/>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Orchestrator delegates to Entity Resolution over A2A</w:t>
            </w:r>
          </w:p>
          <w:p>
            <w:pPr>
              <w:spacing w:after="0" w:before="0" w:line="252"/>
            </w:pPr>
            <w:r>
              <w:rPr>
                <w:rFonts w:ascii="Calibri" w:cs="Calibri" w:eastAsia="Calibri" w:hAnsi="Calibri"/>
                <w:sz w:val="18"/>
                <w:szCs w:val="18"/>
              </w:rPr>
              <w:t xml:space="preserve">Agent calls MCP tools on the master data hub (resolve_entity, get_hierarchy)</w:t>
            </w:r>
          </w:p>
        </w:tc>
        <w:tc>
          <w:tcPr>
            <w:tcW w:type="dxa" w:w="3001"/>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Read-only scopes</w:t>
            </w:r>
          </w:p>
          <w:p>
            <w:pPr>
              <w:spacing w:after="80" w:before="0" w:line="252"/>
            </w:pPr>
            <w:r>
              <w:rPr>
                <w:rFonts w:ascii="Calibri" w:cs="Calibri" w:eastAsia="Calibri" w:hAnsi="Calibri"/>
                <w:sz w:val="18"/>
                <w:szCs w:val="18"/>
              </w:rPr>
              <w:t xml:space="preserve">Gateway authorization</w:t>
            </w:r>
          </w:p>
          <w:p>
            <w:pPr>
              <w:spacing w:after="0" w:before="0" w:line="252"/>
            </w:pPr>
            <w:r>
              <w:rPr>
                <w:rFonts w:ascii="Calibri" w:cs="Calibri" w:eastAsia="Calibri" w:hAnsi="Calibri"/>
                <w:sz w:val="18"/>
                <w:szCs w:val="18"/>
              </w:rPr>
              <w:t xml:space="preserve">Lineage captured</w:t>
            </w:r>
          </w:p>
        </w:tc>
      </w:tr>
      <w:tr>
        <w:trPr>
          <w:cantSplit/>
          <w:tblHeader w:val="false"/>
        </w:trPr>
        <w:tc>
          <w:tcPr>
            <w:tcW w:type="dxa" w:w="800"/>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09:40</w:t>
            </w:r>
          </w:p>
        </w:tc>
        <w:tc>
          <w:tcPr>
            <w:tcW w:type="dxa" w:w="1481"/>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Independence decision</w:t>
            </w:r>
          </w:p>
        </w:tc>
        <w:tc>
          <w:tcPr>
            <w:tcW w:type="dxa" w:w="4078"/>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Conflicts &amp; Independence agent calls independence-system tools</w:t>
            </w:r>
          </w:p>
          <w:p>
            <w:pPr>
              <w:spacing w:after="80" w:before="0" w:line="252"/>
            </w:pPr>
            <w:r>
              <w:rPr>
                <w:rFonts w:ascii="Calibri" w:cs="Calibri" w:eastAsia="Calibri" w:hAnsi="Calibri"/>
                <w:sz w:val="18"/>
                <w:szCs w:val="18"/>
              </w:rPr>
              <w:t xml:space="preserve">Private SLM summarizes</w:t>
            </w:r>
          </w:p>
          <w:p>
            <w:pPr>
              <w:spacing w:after="0" w:before="0" w:line="252"/>
            </w:pPr>
            <w:r>
              <w:rPr>
                <w:rFonts w:ascii="Calibri" w:cs="Calibri" w:eastAsia="Calibri" w:hAnsi="Calibri"/>
                <w:sz w:val="18"/>
                <w:szCs w:val="18"/>
              </w:rPr>
              <w:t xml:space="preserve">Review task goes to Risk</w:t>
            </w:r>
          </w:p>
        </w:tc>
        <w:tc>
          <w:tcPr>
            <w:tcW w:type="dxa" w:w="3001"/>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Tier 1: a person decides</w:t>
            </w:r>
          </w:p>
          <w:p>
            <w:pPr>
              <w:spacing w:after="0" w:before="0" w:line="252"/>
            </w:pPr>
            <w:r>
              <w:rPr>
                <w:rFonts w:ascii="Calibri" w:cs="Calibri" w:eastAsia="Calibri" w:hAnsi="Calibri"/>
                <w:sz w:val="18"/>
                <w:szCs w:val="18"/>
              </w:rPr>
              <w:t xml:space="preserve">Decision signed and logged</w:t>
            </w:r>
          </w:p>
        </w:tc>
      </w:tr>
      <w:tr>
        <w:trPr>
          <w:cantSplit/>
          <w:tblHeader w:val="false"/>
        </w:trPr>
        <w:tc>
          <w:tcPr>
            <w:tcW w:type="dxa" w:w="800"/>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10:30</w:t>
            </w:r>
          </w:p>
        </w:tc>
        <w:tc>
          <w:tcPr>
            <w:tcW w:type="dxa" w:w="1481"/>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Letter drafted</w:t>
            </w:r>
          </w:p>
        </w:tc>
        <w:tc>
          <w:tcPr>
            <w:tcW w:type="dxa" w:w="407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Scoping agent retrieves precedent through the knowledge MCP, then drafts with the frontier model via the AI gateway</w:t>
            </w:r>
          </w:p>
        </w:tc>
        <w:tc>
          <w:tcPr>
            <w:tcW w:type="dxa" w:w="3001"/>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Retrieval filtered by information barriers</w:t>
            </w:r>
          </w:p>
          <w:p>
            <w:pPr>
              <w:spacing w:after="80" w:before="0" w:line="252"/>
            </w:pPr>
            <w:r>
              <w:rPr>
                <w:rFonts w:ascii="Calibri" w:cs="Calibri" w:eastAsia="Calibri" w:hAnsi="Calibri"/>
                <w:sz w:val="18"/>
                <w:szCs w:val="18"/>
              </w:rPr>
              <w:t xml:space="preserve">Personal data masked</w:t>
            </w:r>
          </w:p>
          <w:p>
            <w:pPr>
              <w:spacing w:after="0" w:before="0" w:line="252"/>
            </w:pPr>
            <w:r>
              <w:rPr>
                <w:rFonts w:ascii="Calibri" w:cs="Calibri" w:eastAsia="Calibri" w:hAnsi="Calibri"/>
                <w:sz w:val="18"/>
                <w:szCs w:val="18"/>
              </w:rPr>
              <w:t xml:space="preserve">Template and clause checks</w:t>
            </w:r>
          </w:p>
        </w:tc>
      </w:tr>
      <w:tr>
        <w:trPr>
          <w:cantSplit/>
          <w:tblHeader w:val="false"/>
        </w:trPr>
        <w:tc>
          <w:tcPr>
            <w:tcW w:type="dxa" w:w="800"/>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11:20</w:t>
            </w:r>
          </w:p>
        </w:tc>
        <w:tc>
          <w:tcPr>
            <w:tcW w:type="dxa" w:w="1481"/>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Budget built</w:t>
            </w:r>
          </w:p>
        </w:tc>
        <w:tc>
          <w:tcPr>
            <w:tcW w:type="dxa" w:w="407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Pricing agent reads SAP rate cards and a Snowflake semantic view through MCP (read)</w:t>
            </w:r>
          </w:p>
        </w:tc>
        <w:tc>
          <w:tcPr>
            <w:tcW w:type="dxa" w:w="3001"/>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Row-access policies</w:t>
            </w:r>
          </w:p>
          <w:p>
            <w:pPr>
              <w:spacing w:after="0" w:before="0" w:line="252"/>
            </w:pPr>
            <w:r>
              <w:rPr>
                <w:rFonts w:ascii="Calibri" w:cs="Calibri" w:eastAsia="Calibri" w:hAnsi="Calibri"/>
                <w:sz w:val="18"/>
                <w:szCs w:val="18"/>
              </w:rPr>
              <w:t xml:space="preserve">Metric definitions from the semantic layer</w:t>
            </w:r>
          </w:p>
        </w:tc>
      </w:tr>
      <w:tr>
        <w:trPr>
          <w:cantSplit/>
          <w:tblHeader w:val="false"/>
        </w:trPr>
        <w:tc>
          <w:tcPr>
            <w:tcW w:type="dxa" w:w="800"/>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13:05</w:t>
            </w:r>
          </w:p>
        </w:tc>
        <w:tc>
          <w:tcPr>
            <w:tcW w:type="dxa" w:w="1481"/>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Team proposed</w:t>
            </w:r>
          </w:p>
        </w:tc>
        <w:tc>
          <w:tcPr>
            <w:tcW w:type="dxa" w:w="407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Staffing agent calls Workday MCP tools and the clearance-flag API</w:t>
            </w:r>
          </w:p>
        </w:tc>
        <w:tc>
          <w:tcPr>
            <w:tcW w:type="dxa" w:w="3001"/>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Data minimization: clearance returns yes or no only</w:t>
            </w:r>
          </w:p>
          <w:p>
            <w:pPr>
              <w:spacing w:after="0" w:before="0" w:line="252"/>
            </w:pPr>
            <w:r>
              <w:rPr>
                <w:rFonts w:ascii="Calibri" w:cs="Calibri" w:eastAsia="Calibri" w:hAnsi="Calibri"/>
                <w:sz w:val="18"/>
                <w:szCs w:val="18"/>
              </w:rPr>
              <w:t xml:space="preserve">Manager confirms</w:t>
            </w:r>
          </w:p>
        </w:tc>
      </w:tr>
      <w:tr>
        <w:trPr>
          <w:cantSplit/>
          <w:tblHeader w:val="false"/>
        </w:trPr>
        <w:tc>
          <w:tcPr>
            <w:tcW w:type="dxa" w:w="800"/>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14:30</w:t>
            </w:r>
          </w:p>
        </w:tc>
        <w:tc>
          <w:tcPr>
            <w:tcW w:type="dxa" w:w="1481"/>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Partner approval</w:t>
            </w:r>
          </w:p>
        </w:tc>
        <w:tc>
          <w:tcPr>
            <w:tcW w:type="dxa" w:w="407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Mobile approval with step-up MFA, recorded against the engagement ID</w:t>
            </w:r>
          </w:p>
        </w:tc>
        <w:tc>
          <w:tcPr>
            <w:tcW w:type="dxa" w:w="3001"/>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Non-repudiation</w:t>
            </w:r>
          </w:p>
          <w:p>
            <w:pPr>
              <w:spacing w:after="0" w:before="0" w:line="252"/>
            </w:pPr>
            <w:r>
              <w:rPr>
                <w:rFonts w:ascii="Calibri" w:cs="Calibri" w:eastAsia="Calibri" w:hAnsi="Calibri"/>
                <w:sz w:val="18"/>
                <w:szCs w:val="18"/>
              </w:rPr>
              <w:t xml:space="preserve">Separation of duties</w:t>
            </w:r>
          </w:p>
        </w:tc>
      </w:tr>
      <w:tr>
        <w:trPr>
          <w:cantSplit/>
          <w:tblHeader w:val="false"/>
        </w:trPr>
        <w:tc>
          <w:tcPr>
            <w:tcW w:type="dxa" w:w="800"/>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16:10</w:t>
            </w:r>
          </w:p>
        </w:tc>
        <w:tc>
          <w:tcPr>
            <w:tcW w:type="dxa" w:w="1481"/>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Engagement set up</w:t>
            </w:r>
          </w:p>
        </w:tc>
        <w:tc>
          <w:tcPr>
            <w:tcW w:type="dxa" w:w="407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Setup agent calls SAP MCP write tools after the policy decision point allows</w:t>
            </w:r>
          </w:p>
        </w:tc>
        <w:tc>
          <w:tcPr>
            <w:tcW w:type="dxa" w:w="3001"/>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Gate: cleared, approved and signed</w:t>
            </w:r>
          </w:p>
          <w:p>
            <w:pPr>
              <w:spacing w:after="80" w:before="0" w:line="252"/>
            </w:pPr>
            <w:r>
              <w:rPr>
                <w:rFonts w:ascii="Calibri" w:cs="Calibri" w:eastAsia="Calibri" w:hAnsi="Calibri"/>
                <w:sz w:val="18"/>
                <w:szCs w:val="18"/>
              </w:rPr>
              <w:t xml:space="preserve">Idempotent writes</w:t>
            </w:r>
          </w:p>
          <w:p>
            <w:pPr>
              <w:spacing w:after="0" w:before="0" w:line="252"/>
            </w:pPr>
            <w:r>
              <w:rPr>
                <w:rFonts w:ascii="Calibri" w:cs="Calibri" w:eastAsia="Calibri" w:hAnsi="Calibri"/>
                <w:sz w:val="18"/>
                <w:szCs w:val="18"/>
              </w:rPr>
              <w:t xml:space="preserve">Kill switch available</w:t>
            </w:r>
          </w:p>
        </w:tc>
      </w:tr>
    </w:tbl>
    <w:p>
      <w:pPr>
        <w:spacing w:after="120"/>
      </w:pPr>
    </w:p>
    <w:p>
      <w:pPr>
        <w:pStyle w:val="Heading3"/>
        <w:keepNext/>
      </w:pPr>
      <w:r>
        <w:rPr>
          <w:rFonts w:ascii="Calibri" w:cs="Calibri" w:eastAsia="Calibri" w:hAnsi="Calibri"/>
        </w:rPr>
        <w:t xml:space="preserve">Delegation check</w:t>
      </w:r>
    </w:p>
    <w:tbl>
      <w:tblPr>
        <w:tblW w:type="dxa" w:w="9360"/>
        <w:tblBorders>
          <w:top w:val="single" w:color="CBD5E1" w:sz="4"/>
          <w:left w:val="single" w:color="CBD5E1" w:sz="4"/>
          <w:bottom w:val="single" w:color="CBD5E1" w:sz="4"/>
          <w:right w:val="single" w:color="CBD5E1" w:sz="4"/>
          <w:insideH w:val="single" w:color="CBD5E1" w:sz="4"/>
          <w:insideV w:val="single" w:color="CBD5E1" w:sz="4"/>
        </w:tblBorders>
        <w:tblLayout w:type="fixed"/>
      </w:tblPr>
      <w:tblGrid>
        <w:gridCol w:w="1584"/>
        <w:gridCol w:w="2674"/>
        <w:gridCol w:w="1348"/>
        <w:gridCol w:w="1916"/>
        <w:gridCol w:w="1838"/>
      </w:tblGrid>
      <w:tr>
        <w:trPr>
          <w:cantSplit/>
          <w:tblHeader/>
        </w:trPr>
        <w:tc>
          <w:tcPr>
            <w:tcW w:type="dxa" w:w="1584"/>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Hand-off</w:t>
            </w:r>
          </w:p>
        </w:tc>
        <w:tc>
          <w:tcPr>
            <w:tcW w:type="dxa" w:w="2674"/>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Unit of work and its check</w:t>
            </w:r>
          </w:p>
        </w:tc>
        <w:tc>
          <w:tcPr>
            <w:tcW w:type="dxa" w:w="1348"/>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Model</w:t>
            </w:r>
          </w:p>
        </w:tc>
        <w:tc>
          <w:tcPr>
            <w:tcW w:type="dxa" w:w="1916"/>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Permissions passed on</w:t>
            </w:r>
          </w:p>
        </w:tc>
        <w:tc>
          <w:tcPr>
            <w:tcW w:type="dxa" w:w="1838"/>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When it stops and asks</w:t>
            </w:r>
          </w:p>
        </w:tc>
      </w:tr>
      <w:tr>
        <w:trPr>
          <w:cantSplit/>
          <w:tblHeader w:val="false"/>
        </w:trPr>
        <w:tc>
          <w:tcPr>
            <w:tcW w:type="dxa" w:w="1584"/>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Orchestrator to Entity Resolution</w:t>
            </w:r>
          </w:p>
        </w:tc>
        <w:tc>
          <w:tcPr>
            <w:tcW w:type="dxa" w:w="2674"/>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Resolve one client to its golden record, checked against the hierarchy and identifiers returned</w:t>
            </w:r>
          </w:p>
        </w:tc>
        <w:tc>
          <w:tcPr>
            <w:tcW w:type="dxa" w:w="134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Self-hosted small model</w:t>
            </w:r>
          </w:p>
        </w:tc>
        <w:tc>
          <w:tcPr>
            <w:tcW w:type="dxa" w:w="1916"/>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Read-only MDM scopes, on behalf of the manager</w:t>
            </w:r>
          </w:p>
        </w:tc>
        <w:tc>
          <w:tcPr>
            <w:tcW w:type="dxa" w:w="183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An ambiguous match goes to a data steward, not to the next step</w:t>
            </w:r>
          </w:p>
        </w:tc>
      </w:tr>
      <w:tr>
        <w:trPr>
          <w:cantSplit/>
          <w:tblHeader w:val="false"/>
        </w:trPr>
        <w:tc>
          <w:tcPr>
            <w:tcW w:type="dxa" w:w="1584"/>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Orchestrator to Conflicts &amp; Independence</w:t>
            </w:r>
          </w:p>
        </w:tc>
        <w:tc>
          <w:tcPr>
            <w:tcW w:type="dxa" w:w="2674"/>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Assemble the findings for one launch, checked by the Risk reviewer</w:t>
            </w:r>
          </w:p>
        </w:tc>
        <w:tc>
          <w:tcPr>
            <w:tcW w:type="dxa" w:w="134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Self-hosted small model for summaries</w:t>
            </w:r>
          </w:p>
        </w:tc>
        <w:tc>
          <w:tcPr>
            <w:tcW w:type="dxa" w:w="1916"/>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Read-only independence scopes with no decision rights</w:t>
            </w:r>
          </w:p>
        </w:tc>
        <w:tc>
          <w:tcPr>
            <w:tcW w:type="dxa" w:w="183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Always: a person decides</w:t>
            </w:r>
          </w:p>
        </w:tc>
      </w:tr>
      <w:tr>
        <w:trPr>
          <w:cantSplit/>
          <w:tblHeader w:val="false"/>
        </w:trPr>
        <w:tc>
          <w:tcPr>
            <w:tcW w:type="dxa" w:w="1584"/>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Orchestrator to Scoping &amp; Letter</w:t>
            </w:r>
          </w:p>
        </w:tc>
        <w:tc>
          <w:tcPr>
            <w:tcW w:type="dxa" w:w="2674"/>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Draft one letter from approved templates, checked by template and clause rules</w:t>
            </w:r>
          </w:p>
        </w:tc>
        <w:tc>
          <w:tcPr>
            <w:tcW w:type="dxa" w:w="134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Frontier model through AI Gateway</w:t>
            </w:r>
          </w:p>
        </w:tc>
        <w:tc>
          <w:tcPr>
            <w:tcW w:type="dxa" w:w="1916"/>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Drafts only, in document management</w:t>
            </w:r>
          </w:p>
        </w:tc>
        <w:tc>
          <w:tcPr>
            <w:tcW w:type="dxa" w:w="183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Any clause deviation goes to Risk &amp; Quality</w:t>
            </w:r>
          </w:p>
        </w:tc>
      </w:tr>
      <w:tr>
        <w:trPr>
          <w:cantSplit/>
          <w:tblHeader w:val="false"/>
        </w:trPr>
        <w:tc>
          <w:tcPr>
            <w:tcW w:type="dxa" w:w="1584"/>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Orchestrator to Engagement Setup</w:t>
            </w:r>
          </w:p>
        </w:tc>
        <w:tc>
          <w:tcPr>
            <w:tcW w:type="dxa" w:w="2674"/>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Create one SAP project, WBS and billing plan, checked against the approved request</w:t>
            </w:r>
          </w:p>
        </w:tc>
        <w:tc>
          <w:tcPr>
            <w:tcW w:type="dxa" w:w="134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None needed for the write</w:t>
            </w:r>
          </w:p>
        </w:tc>
        <w:tc>
          <w:tcPr>
            <w:tcW w:type="dxa" w:w="1916"/>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Write scopes for this launch only, after the gate allows</w:t>
            </w:r>
          </w:p>
        </w:tc>
        <w:tc>
          <w:tcPr>
            <w:tcW w:type="dxa" w:w="183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Any mismatch with the approval stops the write</w:t>
            </w:r>
          </w:p>
        </w:tc>
      </w:tr>
    </w:tbl>
    <w:p>
      <w:pPr>
        <w:spacing w:after="120"/>
      </w:pPr>
    </w:p>
    <w:p>
      <w:pPr>
        <w:keepNext/>
        <w:spacing w:after="60" w:before="120" w:line="240" w:lineRule="auto"/>
        <w:jc w:val="center"/>
      </w:pPr>
      <w:r>
        <w:drawing>
          <wp:inline distT="0" distB="0" distL="0" distR="0">
            <wp:extent cx="5943600" cy="6934200"/>
            <wp:effectExtent t="0" r="0" b="0" l="0"/>
            <wp:docPr id="9" name="Figure 13" descr="Component interaction for the Project Atlas launch" title="Fig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 descr=""/>
                    <pic:cNvPicPr>
                      <a:picLocks noChangeAspect="1" noChangeArrowheads="1"/>
                    </pic:cNvPicPr>
                  </pic:nvPicPr>
                  <pic:blipFill>
                    <a:blip r:embed="rId19" cstate="none"/>
                    <a:srcRect/>
                    <a:stretch>
                      <a:fillRect/>
                    </a:stretch>
                  </pic:blipFill>
                  <pic:spPr bwMode="auto">
                    <a:xfrm>
                      <a:off x="0" y="0"/>
                      <a:ext cx="5943600" cy="6934200"/>
                    </a:xfrm>
                    <a:prstGeom prst="rect">
                      <a:avLst/>
                    </a:prstGeom>
                  </pic:spPr>
                </pic:pic>
              </a:graphicData>
            </a:graphic>
          </wp:inline>
        </w:drawing>
      </w:r>
    </w:p>
    <w:p>
      <w:pPr>
        <w:spacing w:after="240"/>
      </w:pPr>
      <w:r>
        <w:rPr>
          <w:rFonts w:ascii="Calibri" w:cs="Calibri" w:eastAsia="Calibri" w:hAnsi="Calibri"/>
          <w:i/>
          <w:iCs/>
          <w:color w:val="64748B"/>
          <w:sz w:val="18"/>
          <w:szCs w:val="18"/>
        </w:rPr>
        <w:t xml:space="preserve">Figure 13. Component interaction for the Project Atlas launch. Numbered steps follow the day in the life (handbook </w:t>
      </w:r>
      <w:hyperlink w:history="1" r:id="rIdz-qwlusid60naubnkklgd">
        <w:r>
          <w:rPr>
            <w:rFonts w:ascii="Calibri" w:cs="Calibri" w:eastAsia="Calibri" w:hAnsi="Calibri"/>
            <w:i/>
            <w:iCs/>
            <w:color w:val="0369A1"/>
            <w:sz w:val="18"/>
            <w:szCs w:val="18"/>
            <w:u w:val="single"/>
          </w:rPr>
          <w:t xml:space="preserve">Figure 11</w:t>
        </w:r>
      </w:hyperlink>
      <w:r>
        <w:rPr>
          <w:rFonts w:ascii="Calibri" w:cs="Calibri" w:eastAsia="Calibri" w:hAnsi="Calibri"/>
          <w:i/>
          <w:iCs/>
          <w:color w:val="64748B"/>
          <w:sz w:val="18"/>
          <w:szCs w:val="18"/>
        </w:rPr>
        <w:t xml:space="preserve">).</w:t>
      </w:r>
    </w:p>
    <w:tbl>
      <w:tblPr>
        <w:tblW w:type="dxa" w:w="9360"/>
        <w:tblBorders>
          <w:top w:val="single" w:color="CBD5E1" w:sz="4"/>
          <w:left w:val="single" w:color="CBD5E1" w:sz="4"/>
          <w:bottom w:val="single" w:color="CBD5E1" w:sz="4"/>
          <w:right w:val="single" w:color="CBD5E1" w:sz="4"/>
          <w:insideH w:val="single" w:color="CBD5E1" w:sz="4"/>
          <w:insideV w:val="single" w:color="CBD5E1" w:sz="4"/>
        </w:tblBorders>
        <w:tblLayout w:type="fixed"/>
      </w:tblPr>
      <w:tblGrid>
        <w:gridCol w:w="9360"/>
      </w:tblGrid>
      <w:tr>
        <w:trPr>
          <w:cantSplit/>
        </w:trPr>
        <w:tc>
          <w:tcPr>
            <w:tcW w:type="dxa" w:w="9360"/>
            <w:shd w:fill="F1F5F9" w:color="auto" w:val="clear"/>
            <w:tcMar>
              <w:top w:type="dxa" w:w="140"/>
              <w:left w:type="dxa" w:w="200"/>
              <w:bottom w:type="dxa" w:w="140"/>
              <w:right w:type="dxa" w:w="200"/>
            </w:tcMar>
          </w:tcPr>
          <w:p>
            <w:pPr>
              <w:spacing w:after="100"/>
            </w:pPr>
            <w:r>
              <w:rPr>
                <w:rFonts w:ascii="Calibri" w:cs="Calibri" w:eastAsia="Calibri" w:hAnsi="Calibri"/>
                <w:b/>
                <w:bCs/>
                <w:color w:val="1E293B"/>
                <w:sz w:val="22"/>
                <w:szCs w:val="22"/>
              </w:rPr>
              <w:t xml:space="preserve">Why it is filled this way</w:t>
            </w:r>
          </w:p>
          <w:p>
            <w:pPr>
              <w:spacing w:after="80"/>
            </w:pPr>
            <w:r>
              <w:rPr>
                <w:rFonts w:ascii="Calibri" w:cs="Calibri" w:eastAsia="Calibri" w:hAnsi="Calibri"/>
                <w:sz w:val="20"/>
                <w:szCs w:val="20"/>
              </w:rPr>
              <w:t xml:space="preserve">Each moment names the protocol: A2A between the orchestrator and specialist agents, MCP from agents to tools, APIs to systems of record.</w:t>
            </w:r>
          </w:p>
          <w:p>
            <w:pPr>
              <w:spacing w:after="80"/>
            </w:pPr>
            <w:r>
              <w:rPr>
                <w:rFonts w:ascii="Calibri" w:cs="Calibri" w:eastAsia="Calibri" w:hAnsi="Calibri"/>
                <w:sz w:val="20"/>
                <w:szCs w:val="20"/>
              </w:rPr>
              <w:t xml:space="preserve">The last row shows the policy decision point allowing the SAP write only when the three conditions are met. Every write in every use case needs a row like it.</w:t>
            </w:r>
          </w:p>
          <w:p>
            <w:pPr>
              <w:spacing w:after="80"/>
            </w:pPr>
            <w:r>
              <w:rPr>
                <w:rFonts w:ascii="Calibri" w:cs="Calibri" w:eastAsia="Calibri" w:hAnsi="Calibri"/>
                <w:sz w:val="20"/>
                <w:szCs w:val="20"/>
              </w:rPr>
              <w:t xml:space="preserve">Every hand-off narrows authority: the setup agent receives write scopes for one launch only, after the gate allows, and any mismatch with the approval stops the write.</w:t>
            </w:r>
          </w:p>
        </w:tc>
      </w:tr>
    </w:tbl>
    <w:p>
      <w:pPr>
        <w:spacing w:after="120"/>
      </w:pPr>
    </w:p>
    <w:p>
      <w:pPr>
        <w:pStyle w:val="Heading2"/>
        <w:keepNext/>
        <w:pageBreakBefore/>
      </w:pPr>
      <w:bookmarkStart w:name="p2_T10" w:id="26"/>
      <w:r>
        <w:rPr>
          <w:rFonts w:ascii="Calibri" w:cs="Calibri" w:eastAsia="Calibri" w:hAnsi="Calibri"/>
        </w:rPr>
        <w:t xml:space="preserve">T10 filled: realizing the use case with MuleSoft Agent Fabric and Informatica</w:t>
      </w:r>
      <w:bookmarkEnd w:id="26"/>
    </w:p>
    <w:tbl>
      <w:tblPr>
        <w:tblW w:type="dxa" w:w="9360"/>
        <w:tblBorders>
          <w:top w:val="single" w:color="CBD5E1" w:sz="4"/>
          <w:left w:val="single" w:color="CBD5E1" w:sz="4"/>
          <w:bottom w:val="single" w:color="CBD5E1" w:sz="4"/>
          <w:right w:val="single" w:color="CBD5E1" w:sz="4"/>
          <w:insideH w:val="single" w:color="CBD5E1" w:sz="4"/>
          <w:insideV w:val="single" w:color="CBD5E1" w:sz="4"/>
        </w:tblBorders>
        <w:tblLayout w:type="fixed"/>
      </w:tblPr>
      <w:tblGrid>
        <w:gridCol w:w="1696"/>
        <w:gridCol w:w="3158"/>
        <w:gridCol w:w="4506"/>
      </w:tblGrid>
      <w:tr>
        <w:trPr>
          <w:cantSplit/>
          <w:tblHeader/>
        </w:trPr>
        <w:tc>
          <w:tcPr>
            <w:tcW w:type="dxa" w:w="1696"/>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Reference component</w:t>
            </w:r>
          </w:p>
        </w:tc>
        <w:tc>
          <w:tcPr>
            <w:tcW w:type="dxa" w:w="3158"/>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MuleSoft or Informatica capability</w:t>
            </w:r>
          </w:p>
        </w:tc>
        <w:tc>
          <w:tcPr>
            <w:tcW w:type="dxa" w:w="4506"/>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Role in this use case</w:t>
            </w:r>
          </w:p>
        </w:tc>
      </w:tr>
      <w:tr>
        <w:trPr>
          <w:cantSplit/>
          <w:tblHeader w:val="false"/>
        </w:trPr>
        <w:tc>
          <w:tcPr>
            <w:tcW w:type="dxa" w:w="1696"/>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Registry</w:t>
            </w:r>
          </w:p>
        </w:tc>
        <w:tc>
          <w:tcPr>
            <w:tcW w:type="dxa" w:w="315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Agent Registry and Agent Scanners (MuleSoft Agent Fabric)</w:t>
            </w:r>
          </w:p>
        </w:tc>
        <w:tc>
          <w:tcPr>
            <w:tcW w:type="dxa" w:w="4506"/>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Registers every launch agent, including agents other teams built on other platforms, with owner and autonomy tier</w:t>
            </w:r>
            <w:hyperlink w:history="1" w:anchor="en_21">
              <w:r>
                <w:rPr>
                  <w:rFonts w:ascii="Calibri" w:cs="Calibri" w:eastAsia="Calibri" w:hAnsi="Calibri"/>
                  <w:color w:val="0369A1"/>
                  <w:sz w:val="18"/>
                  <w:szCs w:val="18"/>
                  <w:vertAlign w:val="superscript"/>
                </w:rPr>
                <w:t xml:space="preserve">21</w:t>
              </w:r>
            </w:hyperlink>
          </w:p>
        </w:tc>
      </w:tr>
      <w:tr>
        <w:trPr>
          <w:cantSplit/>
          <w:tblHeader w:val="false"/>
        </w:trPr>
        <w:tc>
          <w:tcPr>
            <w:tcW w:type="dxa" w:w="1696"/>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Orchestration</w:t>
            </w:r>
          </w:p>
        </w:tc>
        <w:tc>
          <w:tcPr>
            <w:tcW w:type="dxa" w:w="315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Agent Broker with guided determinism (MuleSoft Agent Fabric)</w:t>
            </w:r>
          </w:p>
        </w:tc>
        <w:tc>
          <w:tcPr>
            <w:tcW w:type="dxa" w:w="4506"/>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Supervisor routing over A2A, with fixed gates for independence, approvals and signature</w:t>
            </w:r>
            <w:hyperlink w:history="1" w:anchor="en_21">
              <w:r>
                <w:rPr>
                  <w:rFonts w:ascii="Calibri" w:cs="Calibri" w:eastAsia="Calibri" w:hAnsi="Calibri"/>
                  <w:color w:val="0369A1"/>
                  <w:sz w:val="18"/>
                  <w:szCs w:val="18"/>
                  <w:vertAlign w:val="superscript"/>
                </w:rPr>
                <w:t xml:space="preserve">21</w:t>
              </w:r>
            </w:hyperlink>
          </w:p>
        </w:tc>
      </w:tr>
      <w:tr>
        <w:trPr>
          <w:cantSplit/>
          <w:tblHeader w:val="false"/>
        </w:trPr>
        <w:tc>
          <w:tcPr>
            <w:tcW w:type="dxa" w:w="1696"/>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AI gateway</w:t>
            </w:r>
          </w:p>
        </w:tc>
        <w:tc>
          <w:tcPr>
            <w:tcW w:type="dxa" w:w="315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AI Gateway for LLM and MCP traffic and Omni Gateway policies for APIs and A2A (MuleSoft)</w:t>
            </w:r>
          </w:p>
        </w:tc>
        <w:tc>
          <w:tcPr>
            <w:tcW w:type="dxa" w:w="4506"/>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One policy point for token limits, routing, masking, authentication and rate limits</w:t>
            </w:r>
            <w:hyperlink w:history="1" w:anchor="en_21">
              <w:r>
                <w:rPr>
                  <w:rFonts w:ascii="Calibri" w:cs="Calibri" w:eastAsia="Calibri" w:hAnsi="Calibri"/>
                  <w:color w:val="0369A1"/>
                  <w:sz w:val="18"/>
                  <w:szCs w:val="18"/>
                  <w:vertAlign w:val="superscript"/>
                </w:rPr>
                <w:t xml:space="preserve">21</w:t>
              </w:r>
            </w:hyperlink>
            <w:r>
              <w:rPr>
                <w:rFonts w:ascii="Calibri" w:cs="Calibri" w:eastAsia="Calibri" w:hAnsi="Calibri"/>
                <w:sz w:val="18"/>
                <w:szCs w:val="18"/>
                <w:vertAlign w:val="superscript"/>
              </w:rPr>
              <w:t xml:space="preserve">,</w:t>
            </w:r>
            <w:hyperlink w:history="1" w:anchor="en_78">
              <w:r>
                <w:rPr>
                  <w:rFonts w:ascii="Calibri" w:cs="Calibri" w:eastAsia="Calibri" w:hAnsi="Calibri"/>
                  <w:color w:val="0369A1"/>
                  <w:sz w:val="18"/>
                  <w:szCs w:val="18"/>
                  <w:vertAlign w:val="superscript"/>
                </w:rPr>
                <w:t xml:space="preserve">78</w:t>
              </w:r>
            </w:hyperlink>
          </w:p>
        </w:tc>
      </w:tr>
      <w:tr>
        <w:trPr>
          <w:cantSplit/>
          <w:tblHeader w:val="false"/>
        </w:trPr>
        <w:tc>
          <w:tcPr>
            <w:tcW w:type="dxa" w:w="1696"/>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Agent identity</w:t>
            </w:r>
          </w:p>
        </w:tc>
        <w:tc>
          <w:tcPr>
            <w:tcW w:type="dxa" w:w="315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Trusted Agent Identity (MuleSoft Agent Fabric)</w:t>
            </w:r>
          </w:p>
        </w:tc>
        <w:tc>
          <w:tcPr>
            <w:tcW w:type="dxa" w:w="4506"/>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Agents act on behalf of Maya or the partner, with mobile approval for high-risk steps</w:t>
            </w:r>
            <w:hyperlink w:history="1" w:anchor="en_21">
              <w:r>
                <w:rPr>
                  <w:rFonts w:ascii="Calibri" w:cs="Calibri" w:eastAsia="Calibri" w:hAnsi="Calibri"/>
                  <w:color w:val="0369A1"/>
                  <w:sz w:val="18"/>
                  <w:szCs w:val="18"/>
                  <w:vertAlign w:val="superscript"/>
                </w:rPr>
                <w:t xml:space="preserve">21</w:t>
              </w:r>
            </w:hyperlink>
          </w:p>
          <w:p>
            <w:pPr>
              <w:spacing w:after="0" w:before="0" w:line="252"/>
            </w:pPr>
            <w:r>
              <w:rPr>
                <w:rFonts w:ascii="Calibri" w:cs="Calibri" w:eastAsia="Calibri" w:hAnsi="Calibri"/>
                <w:sz w:val="18"/>
                <w:szCs w:val="18"/>
              </w:rPr>
              <w:t xml:space="preserve">A custom Omni Gateway policy, built with the Policy Development Kit, binds each approval to the executed call</w:t>
            </w:r>
            <w:hyperlink w:history="1" w:anchor="en_78">
              <w:r>
                <w:rPr>
                  <w:rFonts w:ascii="Calibri" w:cs="Calibri" w:eastAsia="Calibri" w:hAnsi="Calibri"/>
                  <w:color w:val="0369A1"/>
                  <w:sz w:val="18"/>
                  <w:szCs w:val="18"/>
                  <w:vertAlign w:val="superscript"/>
                </w:rPr>
                <w:t xml:space="preserve">78</w:t>
              </w:r>
            </w:hyperlink>
          </w:p>
        </w:tc>
      </w:tr>
      <w:tr>
        <w:trPr>
          <w:cantSplit/>
          <w:tblHeader w:val="false"/>
        </w:trPr>
        <w:tc>
          <w:tcPr>
            <w:tcW w:type="dxa" w:w="1696"/>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Operate and control</w:t>
            </w:r>
          </w:p>
        </w:tc>
        <w:tc>
          <w:tcPr>
            <w:tcW w:type="dxa" w:w="315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Agent Kill Switch, Agent Visualizer, AI cost controls (MuleSoft Agent Fabric)</w:t>
            </w:r>
          </w:p>
        </w:tc>
        <w:tc>
          <w:tcPr>
            <w:tcW w:type="dxa" w:w="4506"/>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Stop a misbehaving agent, trace the launch, apply token-based rate limits and attribute AI spend to each launch</w:t>
            </w:r>
            <w:hyperlink w:history="1" w:anchor="en_21">
              <w:r>
                <w:rPr>
                  <w:rFonts w:ascii="Calibri" w:cs="Calibri" w:eastAsia="Calibri" w:hAnsi="Calibri"/>
                  <w:color w:val="0369A1"/>
                  <w:sz w:val="18"/>
                  <w:szCs w:val="18"/>
                  <w:vertAlign w:val="superscript"/>
                </w:rPr>
                <w:t xml:space="preserve">21</w:t>
              </w:r>
            </w:hyperlink>
          </w:p>
          <w:p>
            <w:pPr>
              <w:spacing w:after="0" w:before="0" w:line="252"/>
            </w:pPr>
            <w:r>
              <w:rPr>
                <w:rFonts w:ascii="Calibri" w:cs="Calibri" w:eastAsia="Calibri" w:hAnsi="Calibri"/>
                <w:sz w:val="18"/>
                <w:szCs w:val="18"/>
              </w:rPr>
              <w:t xml:space="preserve">Evaluation suites run with any evaluation tool</w:t>
            </w:r>
          </w:p>
        </w:tc>
      </w:tr>
      <w:tr>
        <w:trPr>
          <w:cantSplit/>
          <w:tblHeader w:val="false"/>
        </w:trPr>
        <w:tc>
          <w:tcPr>
            <w:tcW w:type="dxa" w:w="1696"/>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MCP servers and APIs</w:t>
            </w:r>
          </w:p>
        </w:tc>
        <w:tc>
          <w:tcPr>
            <w:tcW w:type="dxa" w:w="315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MCP Bridge, and System and Process APIs with MuleSoft connectors for SAP S/4HANA, Workday, Snowflake and the CRM (MuleSoft)</w:t>
            </w:r>
          </w:p>
        </w:tc>
        <w:tc>
          <w:tcPr>
            <w:tcW w:type="dxa" w:w="4506"/>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Existing APIs become governed MCP tools without rewriting integrations</w:t>
            </w:r>
            <w:hyperlink w:history="1" w:anchor="en_21">
              <w:r>
                <w:rPr>
                  <w:rFonts w:ascii="Calibri" w:cs="Calibri" w:eastAsia="Calibri" w:hAnsi="Calibri"/>
                  <w:color w:val="0369A1"/>
                  <w:sz w:val="18"/>
                  <w:szCs w:val="18"/>
                  <w:vertAlign w:val="superscript"/>
                </w:rPr>
                <w:t xml:space="preserve">21</w:t>
              </w:r>
            </w:hyperlink>
          </w:p>
        </w:tc>
      </w:tr>
      <w:tr>
        <w:trPr>
          <w:cantSplit/>
          <w:tblHeader w:val="false"/>
        </w:trPr>
        <w:tc>
          <w:tcPr>
            <w:tcW w:type="dxa" w:w="1696"/>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Master data</w:t>
            </w:r>
          </w:p>
        </w:tc>
        <w:tc>
          <w:tcPr>
            <w:tcW w:type="dxa" w:w="315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Multidomain MDM (Informatica)</w:t>
            </w:r>
          </w:p>
        </w:tc>
        <w:tc>
          <w:tcPr>
            <w:tcW w:type="dxa" w:w="4506"/>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Client, worker and engagement golden records with hierarchies, which agents reach through governed APIs exposed as MCP tools by MCP Bridge</w:t>
            </w:r>
            <w:hyperlink w:history="1" w:anchor="en_21">
              <w:r>
                <w:rPr>
                  <w:rFonts w:ascii="Calibri" w:cs="Calibri" w:eastAsia="Calibri" w:hAnsi="Calibri"/>
                  <w:color w:val="0369A1"/>
                  <w:sz w:val="18"/>
                  <w:szCs w:val="18"/>
                  <w:vertAlign w:val="superscript"/>
                </w:rPr>
                <w:t xml:space="preserve">21</w:t>
              </w:r>
            </w:hyperlink>
            <w:r>
              <w:rPr>
                <w:rFonts w:ascii="Calibri" w:cs="Calibri" w:eastAsia="Calibri" w:hAnsi="Calibri"/>
                <w:sz w:val="18"/>
                <w:szCs w:val="18"/>
                <w:vertAlign w:val="superscript"/>
              </w:rPr>
              <w:t xml:space="preserve">,</w:t>
            </w:r>
            <w:hyperlink w:history="1" w:anchor="en_77">
              <w:r>
                <w:rPr>
                  <w:rFonts w:ascii="Calibri" w:cs="Calibri" w:eastAsia="Calibri" w:hAnsi="Calibri"/>
                  <w:color w:val="0369A1"/>
                  <w:sz w:val="18"/>
                  <w:szCs w:val="18"/>
                  <w:vertAlign w:val="superscript"/>
                </w:rPr>
                <w:t xml:space="preserve">77</w:t>
              </w:r>
            </w:hyperlink>
          </w:p>
        </w:tc>
      </w:tr>
      <w:tr>
        <w:trPr>
          <w:cantSplit/>
          <w:tblHeader w:val="false"/>
        </w:trPr>
        <w:tc>
          <w:tcPr>
            <w:tcW w:type="dxa" w:w="1696"/>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Semantics, catalog, lineage</w:t>
            </w:r>
          </w:p>
        </w:tc>
        <w:tc>
          <w:tcPr>
            <w:tcW w:type="dxa" w:w="315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Data Governance and Catalog, with the CDGC Metadata Search MCP server (Informatica)</w:t>
            </w:r>
          </w:p>
        </w:tc>
        <w:tc>
          <w:tcPr>
            <w:tcW w:type="dxa" w:w="4506"/>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Shared glossary and lineage for agents and people, with agents searching catalog metadata through MCP</w:t>
            </w:r>
            <w:hyperlink w:history="1" w:anchor="en_77">
              <w:r>
                <w:rPr>
                  <w:rFonts w:ascii="Calibri" w:cs="Calibri" w:eastAsia="Calibri" w:hAnsi="Calibri"/>
                  <w:color w:val="0369A1"/>
                  <w:sz w:val="18"/>
                  <w:szCs w:val="18"/>
                  <w:vertAlign w:val="superscript"/>
                </w:rPr>
                <w:t xml:space="preserve">77</w:t>
              </w:r>
            </w:hyperlink>
          </w:p>
        </w:tc>
      </w:tr>
      <w:tr>
        <w:trPr>
          <w:cantSplit/>
          <w:tblHeader w:val="false"/>
        </w:trPr>
        <w:tc>
          <w:tcPr>
            <w:tcW w:type="dxa" w:w="1696"/>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Data quality</w:t>
            </w:r>
          </w:p>
        </w:tc>
        <w:tc>
          <w:tcPr>
            <w:tcW w:type="dxa" w:w="315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Data quality rules, with the Address Verification MCP server (Informatica)</w:t>
            </w:r>
          </w:p>
        </w:tc>
        <w:tc>
          <w:tcPr>
            <w:tcW w:type="dxa" w:w="4506"/>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Validate entity data, such as addresses and identifiers, at the point of entry, and flag duplicates and stale hierarchies to data stewards</w:t>
            </w:r>
            <w:hyperlink w:history="1" w:anchor="en_77">
              <w:r>
                <w:rPr>
                  <w:rFonts w:ascii="Calibri" w:cs="Calibri" w:eastAsia="Calibri" w:hAnsi="Calibri"/>
                  <w:color w:val="0369A1"/>
                  <w:sz w:val="18"/>
                  <w:szCs w:val="18"/>
                  <w:vertAlign w:val="superscript"/>
                </w:rPr>
                <w:t xml:space="preserve">77</w:t>
              </w:r>
            </w:hyperlink>
          </w:p>
        </w:tc>
      </w:tr>
      <w:tr>
        <w:trPr>
          <w:cantSplit/>
          <w:tblHeader w:val="false"/>
        </w:trPr>
        <w:tc>
          <w:tcPr>
            <w:tcW w:type="dxa" w:w="1696"/>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Deployment</w:t>
            </w:r>
          </w:p>
        </w:tc>
        <w:tc>
          <w:tcPr>
            <w:tcW w:type="dxa" w:w="315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CloudHub or customer-managed Runtime Fabric (MuleSoft)</w:t>
            </w:r>
          </w:p>
        </w:tc>
        <w:tc>
          <w:tcPr>
            <w:tcW w:type="dxa" w:w="4506"/>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Keep gateways and MCP servers inside the firm’s VPC where confidentiality requires</w:t>
            </w:r>
            <w:hyperlink w:history="1" w:anchor="en_21">
              <w:r>
                <w:rPr>
                  <w:rFonts w:ascii="Calibri" w:cs="Calibri" w:eastAsia="Calibri" w:hAnsi="Calibri"/>
                  <w:color w:val="0369A1"/>
                  <w:sz w:val="18"/>
                  <w:szCs w:val="18"/>
                  <w:vertAlign w:val="superscript"/>
                </w:rPr>
                <w:t xml:space="preserve">21</w:t>
              </w:r>
            </w:hyperlink>
          </w:p>
        </w:tc>
      </w:tr>
    </w:tbl>
    <w:p>
      <w:pPr>
        <w:spacing w:after="120"/>
      </w:pPr>
    </w:p>
    <w:p>
      <w:pPr>
        <w:spacing w:after="140"/>
      </w:pPr>
      <w:r>
        <w:rPr>
          <w:rFonts w:ascii="Calibri" w:cs="Calibri" w:eastAsia="Calibri" w:hAnsi="Calibri"/>
        </w:rPr>
        <w:t xml:space="preserve">The evaluation suites (OR-02) run with any evaluation tool, and their results are recorded in the registry so that promotion decisions rest on them.</w:t>
      </w:r>
    </w:p>
    <w:p>
      <w:pPr>
        <w:pStyle w:val="Heading3"/>
        <w:keepNext/>
      </w:pPr>
      <w:r>
        <w:rPr>
          <w:rFonts w:ascii="Calibri" w:cs="Calibri" w:eastAsia="Calibri" w:hAnsi="Calibri"/>
        </w:rPr>
        <w:t xml:space="preserve">What stays the firm’s choice</w:t>
      </w:r>
    </w:p>
    <w:tbl>
      <w:tblPr>
        <w:tblW w:type="dxa" w:w="9360"/>
        <w:tblBorders>
          <w:top w:val="single" w:color="CBD5E1" w:sz="4"/>
          <w:left w:val="single" w:color="CBD5E1" w:sz="4"/>
          <w:bottom w:val="single" w:color="CBD5E1" w:sz="4"/>
          <w:right w:val="single" w:color="CBD5E1" w:sz="4"/>
          <w:insideH w:val="single" w:color="CBD5E1" w:sz="4"/>
          <w:insideV w:val="single" w:color="CBD5E1" w:sz="4"/>
        </w:tblBorders>
        <w:tblLayout w:type="fixed"/>
      </w:tblPr>
      <w:tblGrid>
        <w:gridCol w:w="3105"/>
        <w:gridCol w:w="6255"/>
      </w:tblGrid>
      <w:tr>
        <w:trPr>
          <w:cantSplit/>
          <w:tblHeader/>
        </w:trPr>
        <w:tc>
          <w:tcPr>
            <w:tcW w:type="dxa" w:w="3105"/>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Component</w:t>
            </w:r>
          </w:p>
        </w:tc>
        <w:tc>
          <w:tcPr>
            <w:tcW w:type="dxa" w:w="6255"/>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Firm’s choice</w:t>
            </w:r>
          </w:p>
        </w:tc>
      </w:tr>
      <w:tr>
        <w:trPr>
          <w:cantSplit/>
          <w:tblHeader w:val="false"/>
        </w:trPr>
        <w:tc>
          <w:tcPr>
            <w:tcW w:type="dxa" w:w="3105"/>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Channels and collaboration tools</w:t>
            </w:r>
          </w:p>
        </w:tc>
        <w:tc>
          <w:tcPr>
            <w:tcW w:type="dxa" w:w="6255"/>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Chat copilot in Slack or Teams</w:t>
            </w:r>
          </w:p>
          <w:p>
            <w:pPr>
              <w:spacing w:after="80" w:before="0" w:line="252"/>
            </w:pPr>
            <w:r>
              <w:rPr>
                <w:rFonts w:ascii="Calibri" w:cs="Calibri" w:eastAsia="Calibri" w:hAnsi="Calibri"/>
                <w:sz w:val="18"/>
                <w:szCs w:val="18"/>
              </w:rPr>
              <w:t xml:space="preserve">The Risk workspace</w:t>
            </w:r>
          </w:p>
          <w:p>
            <w:pPr>
              <w:spacing w:after="0" w:before="0" w:line="252"/>
            </w:pPr>
            <w:r>
              <w:rPr>
                <w:rFonts w:ascii="Calibri" w:cs="Calibri" w:eastAsia="Calibri" w:hAnsi="Calibri"/>
                <w:sz w:val="18"/>
                <w:szCs w:val="18"/>
              </w:rPr>
              <w:t xml:space="preserve">The e-signature portal</w:t>
            </w:r>
          </w:p>
        </w:tc>
      </w:tr>
      <w:tr>
        <w:trPr>
          <w:cantSplit/>
          <w:tblHeader w:val="false"/>
        </w:trPr>
        <w:tc>
          <w:tcPr>
            <w:tcW w:type="dxa" w:w="3105"/>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Agent platforms and frameworks</w:t>
            </w:r>
          </w:p>
        </w:tc>
        <w:tc>
          <w:tcPr>
            <w:tcW w:type="dxa" w:w="6255"/>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Any platform, with agents registered and governed centrally</w:t>
            </w:r>
          </w:p>
        </w:tc>
      </w:tr>
      <w:tr>
        <w:trPr>
          <w:cantSplit/>
          <w:tblHeader w:val="false"/>
        </w:trPr>
        <w:tc>
          <w:tcPr>
            <w:tcW w:type="dxa" w:w="3105"/>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Models and providers</w:t>
            </w:r>
          </w:p>
        </w:tc>
        <w:tc>
          <w:tcPr>
            <w:tcW w:type="dxa" w:w="6255"/>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Frontier models from any provider through AI Gateway</w:t>
            </w:r>
          </w:p>
          <w:p>
            <w:pPr>
              <w:spacing w:after="80" w:before="0" w:line="252"/>
            </w:pPr>
            <w:r>
              <w:rPr>
                <w:rFonts w:ascii="Calibri" w:cs="Calibri" w:eastAsia="Calibri" w:hAnsi="Calibri"/>
                <w:sz w:val="18"/>
                <w:szCs w:val="18"/>
              </w:rPr>
              <w:t xml:space="preserve">The self-hosted small model</w:t>
            </w:r>
          </w:p>
          <w:p>
            <w:pPr>
              <w:spacing w:after="0" w:before="0" w:line="252"/>
            </w:pPr>
            <w:r>
              <w:rPr>
                <w:rFonts w:ascii="Calibri" w:cs="Calibri" w:eastAsia="Calibri" w:hAnsi="Calibri"/>
                <w:sz w:val="18"/>
                <w:szCs w:val="18"/>
              </w:rPr>
              <w:t xml:space="preserve">Embeddings</w:t>
            </w:r>
          </w:p>
        </w:tc>
      </w:tr>
      <w:tr>
        <w:trPr>
          <w:cantSplit/>
          <w:tblHeader w:val="false"/>
        </w:trPr>
        <w:tc>
          <w:tcPr>
            <w:tcW w:type="dxa" w:w="3105"/>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Systems of record</w:t>
            </w:r>
          </w:p>
        </w:tc>
        <w:tc>
          <w:tcPr>
            <w:tcW w:type="dxa" w:w="6255"/>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CRM, independence system, document management and e-signature, Workday, SAP S/4HANA, Snowflake</w:t>
            </w:r>
          </w:p>
        </w:tc>
      </w:tr>
      <w:tr>
        <w:trPr>
          <w:cantSplit/>
          <w:tblHeader w:val="false"/>
        </w:trPr>
        <w:tc>
          <w:tcPr>
            <w:tcW w:type="dxa" w:w="3105"/>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Identity provider and SIEM</w:t>
            </w:r>
          </w:p>
        </w:tc>
        <w:tc>
          <w:tcPr>
            <w:tcW w:type="dxa" w:w="6255"/>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The firm’s existing services, federated by the control plane</w:t>
            </w:r>
          </w:p>
        </w:tc>
      </w:tr>
    </w:tbl>
    <w:p>
      <w:pPr>
        <w:spacing w:after="120"/>
      </w:pPr>
    </w:p>
    <w:p>
      <w:pPr>
        <w:pStyle w:val="Heading3"/>
        <w:keepNext/>
      </w:pPr>
      <w:r>
        <w:rPr>
          <w:rFonts w:ascii="Calibri" w:cs="Calibri" w:eastAsia="Calibri" w:hAnsi="Calibri"/>
        </w:rPr>
        <w:t xml:space="preserve">Coexisting with the firm’s other platforms</w:t>
      </w:r>
    </w:p>
    <w:tbl>
      <w:tblPr>
        <w:tblW w:type="dxa" w:w="9360"/>
        <w:tblBorders>
          <w:top w:val="single" w:color="CBD5E1" w:sz="4"/>
          <w:left w:val="single" w:color="CBD5E1" w:sz="4"/>
          <w:bottom w:val="single" w:color="CBD5E1" w:sz="4"/>
          <w:right w:val="single" w:color="CBD5E1" w:sz="4"/>
          <w:insideH w:val="single" w:color="CBD5E1" w:sz="4"/>
          <w:insideV w:val="single" w:color="CBD5E1" w:sz="4"/>
        </w:tblBorders>
        <w:tblLayout w:type="fixed"/>
      </w:tblPr>
      <w:tblGrid>
        <w:gridCol w:w="2069"/>
        <w:gridCol w:w="7291"/>
      </w:tblGrid>
      <w:tr>
        <w:trPr>
          <w:cantSplit/>
          <w:tblHeader w:val="false"/>
        </w:trPr>
        <w:tc>
          <w:tcPr>
            <w:tcW w:type="dxa" w:w="2069"/>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Collaboration platform</w:t>
            </w:r>
          </w:p>
        </w:tc>
        <w:tc>
          <w:tcPr>
            <w:tcW w:type="dxa" w:w="7291"/>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The chat copilot runs in Slack or Teams. The platform’s own admin controls stay in place, and the copilot’s calls into the launch agents pass through Agent Fabric.</w:t>
            </w:r>
          </w:p>
        </w:tc>
      </w:tr>
      <w:tr>
        <w:trPr>
          <w:cantSplit/>
          <w:tblHeader w:val="false"/>
        </w:trPr>
        <w:tc>
          <w:tcPr>
            <w:tcW w:type="dxa" w:w="2069"/>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Agents built elsewhere</w:t>
            </w:r>
          </w:p>
        </w:tc>
        <w:tc>
          <w:tcPr>
            <w:tcW w:type="dxa" w:w="7291"/>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Agents other teams built on other platforms are registered in Agent Registry. Their native planes stay authoritative for identity and runtime in their own estates.</w:t>
            </w:r>
          </w:p>
        </w:tc>
      </w:tr>
      <w:tr>
        <w:trPr>
          <w:cantSplit/>
          <w:tblHeader w:val="false"/>
        </w:trPr>
        <w:tc>
          <w:tcPr>
            <w:tcW w:type="dxa" w:w="2069"/>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Identity</w:t>
            </w:r>
          </w:p>
        </w:tc>
        <w:tc>
          <w:tcPr>
            <w:tcW w:type="dxa" w:w="7291"/>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The firm’s identity provider stays authoritative for people. Agent identities are federated, not duplicated.</w:t>
            </w:r>
          </w:p>
        </w:tc>
      </w:tr>
      <w:tr>
        <w:trPr>
          <w:cantSplit/>
          <w:tblHeader w:val="false"/>
        </w:trPr>
        <w:tc>
          <w:tcPr>
            <w:tcW w:type="dxa" w:w="2069"/>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Agent Fabric is authoritative for</w:t>
            </w:r>
          </w:p>
        </w:tc>
        <w:tc>
          <w:tcPr>
            <w:tcW w:type="dxa" w:w="7291"/>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The launch agents’ inventory, policy on every call into SAP, Workday, Snowflake, the CRM and the independence system, and AI cost and audit.</w:t>
            </w:r>
          </w:p>
        </w:tc>
      </w:tr>
    </w:tbl>
    <w:p>
      <w:pPr>
        <w:spacing w:after="120"/>
      </w:pPr>
    </w:p>
    <w:p>
      <w:pPr>
        <w:keepNext/>
        <w:spacing w:after="60" w:before="120" w:line="240" w:lineRule="auto"/>
        <w:jc w:val="center"/>
      </w:pPr>
      <w:r>
        <w:drawing>
          <wp:inline distT="0" distB="0" distL="0" distR="0">
            <wp:extent cx="5943600" cy="6934200"/>
            <wp:effectExtent t="0" r="0" b="0" l="0"/>
            <wp:docPr id="10" name="Figure 14" descr="Use case 1 realized with MuleSoft Agent Fabric and Informatica" title="Fig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 descr=""/>
                    <pic:cNvPicPr>
                      <a:picLocks noChangeAspect="1" noChangeArrowheads="1"/>
                    </pic:cNvPicPr>
                  </pic:nvPicPr>
                  <pic:blipFill>
                    <a:blip r:embed="rId20" cstate="none"/>
                    <a:srcRect/>
                    <a:stretch>
                      <a:fillRect/>
                    </a:stretch>
                  </pic:blipFill>
                  <pic:spPr bwMode="auto">
                    <a:xfrm>
                      <a:off x="0" y="0"/>
                      <a:ext cx="5943600" cy="6934200"/>
                    </a:xfrm>
                    <a:prstGeom prst="rect">
                      <a:avLst/>
                    </a:prstGeom>
                  </pic:spPr>
                </pic:pic>
              </a:graphicData>
            </a:graphic>
          </wp:inline>
        </w:drawing>
      </w:r>
    </w:p>
    <w:p>
      <w:pPr>
        <w:spacing w:after="240"/>
      </w:pPr>
      <w:r>
        <w:rPr>
          <w:rFonts w:ascii="Calibri" w:cs="Calibri" w:eastAsia="Calibri" w:hAnsi="Calibri"/>
          <w:i/>
          <w:iCs/>
          <w:color w:val="64748B"/>
          <w:sz w:val="18"/>
          <w:szCs w:val="18"/>
        </w:rPr>
        <w:t xml:space="preserve">Figure 14. Use case 1 realized with MuleSoft Agent Fabric and Informatica. Colors show which vendor fills each role (handbook </w:t>
      </w:r>
      <w:hyperlink w:history="1" r:id="rIdczxxbtxpntat53gmvqr62">
        <w:r>
          <w:rPr>
            <w:rFonts w:ascii="Calibri" w:cs="Calibri" w:eastAsia="Calibri" w:hAnsi="Calibri"/>
            <w:i/>
            <w:iCs/>
            <w:color w:val="0369A1"/>
            <w:sz w:val="18"/>
            <w:szCs w:val="18"/>
            <w:u w:val="single"/>
          </w:rPr>
          <w:t xml:space="preserve">Figure 12</w:t>
        </w:r>
      </w:hyperlink>
      <w:r>
        <w:rPr>
          <w:rFonts w:ascii="Calibri" w:cs="Calibri" w:eastAsia="Calibri" w:hAnsi="Calibri"/>
          <w:i/>
          <w:iCs/>
          <w:color w:val="64748B"/>
          <w:sz w:val="18"/>
          <w:szCs w:val="18"/>
        </w:rPr>
        <w:t xml:space="preserve">).</w:t>
      </w:r>
    </w:p>
    <w:tbl>
      <w:tblPr>
        <w:tblW w:type="dxa" w:w="9360"/>
        <w:tblBorders>
          <w:top w:val="single" w:color="CBD5E1" w:sz="4"/>
          <w:left w:val="single" w:color="CBD5E1" w:sz="4"/>
          <w:bottom w:val="single" w:color="CBD5E1" w:sz="4"/>
          <w:right w:val="single" w:color="CBD5E1" w:sz="4"/>
          <w:insideH w:val="single" w:color="CBD5E1" w:sz="4"/>
          <w:insideV w:val="single" w:color="CBD5E1" w:sz="4"/>
        </w:tblBorders>
        <w:tblLayout w:type="fixed"/>
      </w:tblPr>
      <w:tblGrid>
        <w:gridCol w:w="9360"/>
      </w:tblGrid>
      <w:tr>
        <w:trPr>
          <w:cantSplit/>
        </w:trPr>
        <w:tc>
          <w:tcPr>
            <w:tcW w:type="dxa" w:w="9360"/>
            <w:shd w:fill="F1F5F9" w:color="auto" w:val="clear"/>
            <w:tcMar>
              <w:top w:type="dxa" w:w="140"/>
              <w:left w:type="dxa" w:w="200"/>
              <w:bottom w:type="dxa" w:w="140"/>
              <w:right w:type="dxa" w:w="200"/>
            </w:tcMar>
          </w:tcPr>
          <w:p>
            <w:pPr>
              <w:spacing w:after="100"/>
            </w:pPr>
            <w:r>
              <w:rPr>
                <w:rFonts w:ascii="Calibri" w:cs="Calibri" w:eastAsia="Calibri" w:hAnsi="Calibri"/>
                <w:b/>
                <w:bCs/>
                <w:color w:val="1E293B"/>
                <w:sz w:val="22"/>
                <w:szCs w:val="22"/>
              </w:rPr>
              <w:t xml:space="preserve">Why it is filled this way</w:t>
            </w:r>
          </w:p>
          <w:p>
            <w:pPr>
              <w:spacing w:after="80"/>
            </w:pPr>
            <w:r>
              <w:rPr>
                <w:rFonts w:ascii="Calibri" w:cs="Calibri" w:eastAsia="Calibri" w:hAnsi="Calibri"/>
                <w:sz w:val="20"/>
                <w:szCs w:val="20"/>
              </w:rPr>
              <w:t xml:space="preserve">The mapping is one-to-one with the vendor-neutral design. MuleSoft supplies the control plane, the A2A and MCP paths and the governed APIs into SAP, Workday and Snowflake. Informatica supplies the golden records, semantics and quality that make independence checks trustworthy.</w:t>
            </w:r>
          </w:p>
          <w:p>
            <w:pPr>
              <w:spacing w:after="80"/>
            </w:pPr>
            <w:r>
              <w:rPr>
                <w:rFonts w:ascii="Calibri" w:cs="Calibri" w:eastAsia="Calibri" w:hAnsi="Calibri"/>
                <w:sz w:val="20"/>
                <w:szCs w:val="20"/>
              </w:rPr>
              <w:t xml:space="preserve">Approval binding is labeled custom: it is a custom Omni Gateway policy built with the Policy Development Kit, so the firm or a partner owns its build, testing and support.</w:t>
            </w:r>
            <w:hyperlink w:history="1" w:anchor="en_78">
              <w:r>
                <w:rPr>
                  <w:rFonts w:ascii="Calibri" w:cs="Calibri" w:eastAsia="Calibri" w:hAnsi="Calibri"/>
                  <w:color w:val="0369A1"/>
                  <w:sz w:val="20"/>
                  <w:szCs w:val="20"/>
                  <w:vertAlign w:val="superscript"/>
                </w:rPr>
                <w:t xml:space="preserve">78</w:t>
              </w:r>
            </w:hyperlink>
          </w:p>
          <w:p>
            <w:pPr>
              <w:spacing w:after="80"/>
            </w:pPr>
            <w:r>
              <w:rPr>
                <w:rFonts w:ascii="Calibri" w:cs="Calibri" w:eastAsia="Calibri" w:hAnsi="Calibri"/>
                <w:sz w:val="20"/>
                <w:szCs w:val="20"/>
              </w:rPr>
              <w:t xml:space="preserve">Coexistence is settled in writing: other platforms keep their own controls and identities, and Agent Fabric is authoritative for the launch agents, every call into the firm’s systems, and cost and audit.</w:t>
            </w:r>
          </w:p>
        </w:tc>
      </w:tr>
    </w:tbl>
    <w:p>
      <w:pPr>
        <w:spacing w:after="120"/>
      </w:pPr>
    </w:p>
    <w:p>
      <w:pPr>
        <w:pStyle w:val="Heading2"/>
        <w:keepNext/>
        <w:pageBreakBefore/>
      </w:pPr>
      <w:bookmarkStart w:name="p2_T11" w:id="27"/>
      <w:r>
        <w:rPr>
          <w:rFonts w:ascii="Calibri" w:cs="Calibri" w:eastAsia="Calibri" w:hAnsi="Calibri"/>
        </w:rPr>
        <w:t xml:space="preserve">T11 filled: phased implementation with ROI and business value</w:t>
      </w:r>
      <w:bookmarkEnd w:id="27"/>
    </w:p>
    <w:tbl>
      <w:tblPr>
        <w:tblW w:type="dxa" w:w="9360"/>
        <w:tblBorders>
          <w:top w:val="single" w:color="CBD5E1" w:sz="4"/>
          <w:left w:val="single" w:color="CBD5E1" w:sz="4"/>
          <w:bottom w:val="single" w:color="CBD5E1" w:sz="4"/>
          <w:right w:val="single" w:color="CBD5E1" w:sz="4"/>
          <w:insideH w:val="single" w:color="CBD5E1" w:sz="4"/>
          <w:insideV w:val="single" w:color="CBD5E1" w:sz="4"/>
        </w:tblBorders>
        <w:tblLayout w:type="fixed"/>
      </w:tblPr>
      <w:tblGrid>
        <w:gridCol w:w="1248"/>
        <w:gridCol w:w="2244"/>
        <w:gridCol w:w="1248"/>
        <w:gridCol w:w="1808"/>
        <w:gridCol w:w="1340"/>
        <w:gridCol w:w="1472"/>
      </w:tblGrid>
      <w:tr>
        <w:trPr>
          <w:cantSplit/>
          <w:tblHeader/>
        </w:trPr>
        <w:tc>
          <w:tcPr>
            <w:tcW w:type="dxa" w:w="1248"/>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Milestone</w:t>
            </w:r>
          </w:p>
        </w:tc>
        <w:tc>
          <w:tcPr>
            <w:tcW w:type="dxa" w:w="2244"/>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What goes live</w:t>
            </w:r>
          </w:p>
        </w:tc>
        <w:tc>
          <w:tcPr>
            <w:tcW w:type="dxa" w:w="1248"/>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KPIs at the milestone</w:t>
            </w:r>
          </w:p>
        </w:tc>
        <w:tc>
          <w:tcPr>
            <w:tcW w:type="dxa" w:w="1808"/>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Value (illustrative)</w:t>
            </w:r>
          </w:p>
        </w:tc>
        <w:tc>
          <w:tcPr>
            <w:tcW w:type="dxa" w:w="1340"/>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Formula</w:t>
            </w:r>
          </w:p>
        </w:tc>
        <w:tc>
          <w:tcPr>
            <w:tcW w:type="dxa" w:w="1472"/>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Foundations left behind</w:t>
            </w:r>
          </w:p>
        </w:tc>
      </w:tr>
      <w:tr>
        <w:trPr>
          <w:cantSplit/>
          <w:tblHeader w:val="false"/>
        </w:trPr>
        <w:tc>
          <w:tcPr>
            <w:tcW w:type="dxa" w:w="1248"/>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Month 3 (phase 1)</w:t>
            </w:r>
          </w:p>
        </w:tc>
        <w:tc>
          <w:tcPr>
            <w:tcW w:type="dxa" w:w="2244"/>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One service line in one region, about a tenth of launches. Entity resolution and independence agents work read-only at tiers 1–2, while people draft letters and set up SAP as today. Every model and tool call goes through the gateway from day one.</w:t>
            </w:r>
          </w:p>
        </w:tc>
        <w:tc>
          <w:tcPr>
            <w:tcW w:type="dxa" w:w="1248"/>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Manual effort per launch down from 14 to about 10 hours in scope</w:t>
            </w:r>
          </w:p>
          <w:p>
            <w:pPr>
              <w:spacing w:after="0" w:before="0" w:line="252"/>
            </w:pPr>
            <w:r>
              <w:rPr>
                <w:rFonts w:ascii="Calibri" w:cs="Calibri" w:eastAsia="Calibri" w:hAnsi="Calibri"/>
                <w:sz w:val="18"/>
                <w:szCs w:val="18"/>
              </w:rPr>
              <w:t xml:space="preserve">Governed AI traffic 100% in scope</w:t>
            </w:r>
          </w:p>
        </w:tc>
        <w:tc>
          <w:tcPr>
            <w:tcW w:type="dxa" w:w="1808"/>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About $0.5M a year</w:t>
            </w:r>
          </w:p>
        </w:tc>
        <w:tc>
          <w:tcPr>
            <w:tcW w:type="dxa" w:w="13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1,000 launches × 4 hours × $120</w:t>
            </w:r>
          </w:p>
        </w:tc>
        <w:tc>
          <w:tcPr>
            <w:tcW w:type="dxa" w:w="1472"/>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Agents registered with owners and tiers</w:t>
            </w:r>
          </w:p>
          <w:p>
            <w:pPr>
              <w:spacing w:after="80" w:before="0" w:line="252"/>
            </w:pPr>
            <w:r>
              <w:rPr>
                <w:rFonts w:ascii="Calibri" w:cs="Calibri" w:eastAsia="Calibri" w:hAnsi="Calibri"/>
                <w:sz w:val="18"/>
                <w:szCs w:val="18"/>
              </w:rPr>
              <w:t xml:space="preserve">Spend visible by use case</w:t>
            </w:r>
          </w:p>
          <w:p>
            <w:pPr>
              <w:spacing w:after="0" w:before="0" w:line="252"/>
            </w:pPr>
            <w:r>
              <w:rPr>
                <w:rFonts w:ascii="Calibri" w:cs="Calibri" w:eastAsia="Calibri" w:hAnsi="Calibri"/>
                <w:sz w:val="18"/>
                <w:szCs w:val="18"/>
              </w:rPr>
              <w:t xml:space="preserve">The gateway live</w:t>
            </w:r>
          </w:p>
        </w:tc>
      </w:tr>
      <w:tr>
        <w:trPr>
          <w:cantSplit/>
          <w:tblHeader w:val="false"/>
        </w:trPr>
        <w:tc>
          <w:tcPr>
            <w:tcW w:type="dxa" w:w="1248"/>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Month 8 (phase 2)</w:t>
            </w:r>
          </w:p>
        </w:tc>
        <w:tc>
          <w:tcPr>
            <w:tcW w:type="dxa" w:w="2244"/>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Half of all launches. Scoping and pricing agents draft letters and budgets from approved clauses and rate cards, and the staffing agent proposes teams from Workday. The launch capabilities are published as governed MCP tools.</w:t>
            </w:r>
          </w:p>
        </w:tc>
        <w:tc>
          <w:tcPr>
            <w:tcW w:type="dxa" w:w="1248"/>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Manual effort about 8 hours in scope</w:t>
            </w:r>
          </w:p>
          <w:p>
            <w:pPr>
              <w:spacing w:after="0" w:before="0" w:line="252"/>
            </w:pPr>
            <w:r>
              <w:rPr>
                <w:rFonts w:ascii="Calibri" w:cs="Calibri" w:eastAsia="Calibri" w:hAnsi="Calibri"/>
                <w:sz w:val="18"/>
                <w:szCs w:val="18"/>
              </w:rPr>
              <w:t xml:space="preserve">Staffing within 48 hours rising toward 70%</w:t>
            </w:r>
          </w:p>
        </w:tc>
        <w:tc>
          <w:tcPr>
            <w:tcW w:type="dxa" w:w="1808"/>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About $8M a year</w:t>
            </w:r>
          </w:p>
        </w:tc>
        <w:tc>
          <w:tcPr>
            <w:tcW w:type="dxa" w:w="1340"/>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Capacity about $3.6M (5,000 × 6 hours × $120)</w:t>
            </w:r>
          </w:p>
          <w:p>
            <w:pPr>
              <w:spacing w:after="0" w:before="0" w:line="252"/>
            </w:pPr>
            <w:r>
              <w:rPr>
                <w:rFonts w:ascii="Calibri" w:cs="Calibri" w:eastAsia="Calibri" w:hAnsi="Calibri"/>
                <w:sz w:val="18"/>
                <w:szCs w:val="18"/>
              </w:rPr>
              <w:t xml:space="preserve">Utilization about $4.5M</w:t>
            </w:r>
          </w:p>
        </w:tc>
        <w:tc>
          <w:tcPr>
            <w:tcW w:type="dxa" w:w="1472"/>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Governed APIs and MCP tools reusable by the next use case</w:t>
            </w:r>
          </w:p>
          <w:p>
            <w:pPr>
              <w:spacing w:after="0" w:before="0" w:line="252"/>
            </w:pPr>
            <w:r>
              <w:rPr>
                <w:rFonts w:ascii="Calibri" w:cs="Calibri" w:eastAsia="Calibri" w:hAnsi="Calibri"/>
                <w:sz w:val="18"/>
                <w:szCs w:val="18"/>
              </w:rPr>
              <w:t xml:space="preserve">Routing and token-based rate limits on</w:t>
            </w:r>
          </w:p>
        </w:tc>
      </w:tr>
      <w:tr>
        <w:trPr>
          <w:cantSplit/>
          <w:tblHeader w:val="false"/>
        </w:trPr>
        <w:tc>
          <w:tcPr>
            <w:tcW w:type="dxa" w:w="1248"/>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Month 12 (phase 3)</w:t>
            </w:r>
          </w:p>
        </w:tc>
        <w:tc>
          <w:tcPr>
            <w:tcW w:type="dxa" w:w="2244"/>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Every launch. The setup agent creates the SAP project, WBS and billing plan at tier 3 once the partner’s approval, bound to that exact request, and the client’s signature are in place.</w:t>
            </w:r>
          </w:p>
        </w:tc>
        <w:tc>
          <w:tcPr>
            <w:tcW w:type="dxa" w:w="124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All KPI targets met, including win-to-ready-to-charge in 2 days and 5 hours of effort per launch</w:t>
            </w:r>
          </w:p>
        </w:tc>
        <w:tc>
          <w:tcPr>
            <w:tcW w:type="dxa" w:w="1808"/>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About $30M a year</w:t>
            </w:r>
          </w:p>
        </w:tc>
        <w:tc>
          <w:tcPr>
            <w:tcW w:type="dxa" w:w="13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The full business case</w:t>
            </w:r>
          </w:p>
        </w:tc>
        <w:tc>
          <w:tcPr>
            <w:tcW w:type="dxa" w:w="1472"/>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Agent identities, bound approvals, drills and evaluation in every release</w:t>
            </w:r>
          </w:p>
        </w:tc>
      </w:tr>
      <w:tr>
        <w:trPr>
          <w:cantSplit/>
          <w:tblHeader w:val="false"/>
        </w:trPr>
        <w:tc>
          <w:tcPr>
            <w:tcW w:type="dxa" w:w="1248"/>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Month 24 (phase 4): all goals met</w:t>
            </w:r>
          </w:p>
        </w:tc>
        <w:tc>
          <w:tcPr>
            <w:tcW w:type="dxa" w:w="2244"/>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Run rate and KPI targets are sustained. Adjacent processes, such as engagement changes and closure, are added on the same controls, and models are swapped without application changes.</w:t>
            </w:r>
          </w:p>
        </w:tc>
        <w:tc>
          <w:tcPr>
            <w:tcW w:type="dxa" w:w="124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All KPIs held at target</w:t>
            </w:r>
          </w:p>
        </w:tc>
        <w:tc>
          <w:tcPr>
            <w:tcW w:type="dxa" w:w="1808"/>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About $33M cumulative by month 24</w:t>
            </w:r>
          </w:p>
        </w:tc>
        <w:tc>
          <w:tcPr>
            <w:tcW w:type="dxa" w:w="134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Each run rate counted from its milestone</w:t>
            </w:r>
          </w:p>
        </w:tc>
        <w:tc>
          <w:tcPr>
            <w:tcW w:type="dxa" w:w="1472"/>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Federated control plane</w:t>
            </w:r>
          </w:p>
          <w:p>
            <w:pPr>
              <w:spacing w:after="0" w:before="0" w:line="252"/>
            </w:pPr>
            <w:r>
              <w:rPr>
                <w:rFonts w:ascii="Calibri" w:cs="Calibri" w:eastAsia="Calibri" w:hAnsi="Calibri"/>
                <w:sz w:val="18"/>
                <w:szCs w:val="18"/>
              </w:rPr>
              <w:t xml:space="preserve">Post-quantum plan on track</w:t>
            </w:r>
          </w:p>
        </w:tc>
      </w:tr>
    </w:tbl>
    <w:p>
      <w:pPr>
        <w:spacing w:after="120"/>
      </w:pPr>
    </w:p>
    <w:p>
      <w:pPr>
        <w:keepNext/>
        <w:spacing w:after="60" w:before="120" w:line="240" w:lineRule="auto"/>
        <w:jc w:val="center"/>
      </w:pPr>
      <w:r>
        <w:drawing>
          <wp:inline distT="0" distB="0" distL="0" distR="0">
            <wp:extent cx="5943600" cy="2371725"/>
            <wp:effectExtent t="0" r="0" b="0" l="0"/>
            <wp:docPr id="11" name="Figure 15" descr="Platform phases and use case milestones phased together" title="Fig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 descr=""/>
                    <pic:cNvPicPr>
                      <a:picLocks noChangeAspect="1" noChangeArrowheads="1"/>
                    </pic:cNvPicPr>
                  </pic:nvPicPr>
                  <pic:blipFill>
                    <a:blip r:embed="rId21" cstate="none"/>
                    <a:srcRect/>
                    <a:stretch>
                      <a:fillRect/>
                    </a:stretch>
                  </pic:blipFill>
                  <pic:spPr bwMode="auto">
                    <a:xfrm>
                      <a:off x="0" y="0"/>
                      <a:ext cx="5943600" cy="2371725"/>
                    </a:xfrm>
                    <a:prstGeom prst="rect">
                      <a:avLst/>
                    </a:prstGeom>
                  </pic:spPr>
                </pic:pic>
              </a:graphicData>
            </a:graphic>
          </wp:inline>
        </w:drawing>
      </w:r>
    </w:p>
    <w:p>
      <w:pPr>
        <w:spacing w:after="240"/>
      </w:pPr>
      <w:r>
        <w:rPr>
          <w:rFonts w:ascii="Calibri" w:cs="Calibri" w:eastAsia="Calibri" w:hAnsi="Calibri"/>
          <w:i/>
          <w:iCs/>
          <w:color w:val="64748B"/>
          <w:sz w:val="18"/>
          <w:szCs w:val="18"/>
        </w:rPr>
        <w:t xml:space="preserve">Figure 15. The platform and the use case, phased together (client deck, Part 1). Values are illustrative, before platform, model and change costs.</w:t>
      </w:r>
    </w:p>
    <w:p>
      <w:pPr>
        <w:pStyle w:val="Heading3"/>
        <w:keepNext/>
      </w:pPr>
      <w:r>
        <w:rPr>
          <w:rFonts w:ascii="Calibri" w:cs="Calibri" w:eastAsia="Calibri" w:hAnsi="Calibri"/>
        </w:rPr>
        <w:t xml:space="preserve">Quick-win test for the month-3 slice</w:t>
      </w:r>
    </w:p>
    <w:tbl>
      <w:tblPr>
        <w:tblW w:type="dxa" w:w="9360"/>
        <w:tblBorders>
          <w:top w:val="single" w:color="CBD5E1" w:sz="4"/>
          <w:left w:val="single" w:color="CBD5E1" w:sz="4"/>
          <w:bottom w:val="single" w:color="CBD5E1" w:sz="4"/>
          <w:right w:val="single" w:color="CBD5E1" w:sz="4"/>
          <w:insideH w:val="single" w:color="CBD5E1" w:sz="4"/>
          <w:insideV w:val="single" w:color="CBD5E1" w:sz="4"/>
        </w:tblBorders>
        <w:tblLayout w:type="fixed"/>
      </w:tblPr>
      <w:tblGrid>
        <w:gridCol w:w="4238"/>
        <w:gridCol w:w="912"/>
        <w:gridCol w:w="4210"/>
      </w:tblGrid>
      <w:tr>
        <w:trPr>
          <w:cantSplit/>
          <w:tblHeader/>
        </w:trPr>
        <w:tc>
          <w:tcPr>
            <w:tcW w:type="dxa" w:w="4238"/>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Test</w:t>
            </w:r>
          </w:p>
        </w:tc>
        <w:tc>
          <w:tcPr>
            <w:tcW w:type="dxa" w:w="912"/>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Result</w:t>
            </w:r>
          </w:p>
        </w:tc>
        <w:tc>
          <w:tcPr>
            <w:tcW w:type="dxa" w:w="4210"/>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Evidence</w:t>
            </w:r>
          </w:p>
        </w:tc>
      </w:tr>
      <w:tr>
        <w:trPr>
          <w:cantSplit/>
          <w:tblHeader w:val="false"/>
        </w:trPr>
        <w:tc>
          <w:tcPr>
            <w:tcW w:type="dxa" w:w="423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Shows measurable value within 90 days in one scope (one service line, market, region or site).</w:t>
            </w:r>
          </w:p>
        </w:tc>
        <w:tc>
          <w:tcPr>
            <w:tcW w:type="dxa" w:w="912"/>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Yes</w:t>
            </w:r>
          </w:p>
        </w:tc>
        <w:tc>
          <w:tcPr>
            <w:tcW w:type="dxa" w:w="4210"/>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One service line in one region, about 1,000 launches a year</w:t>
            </w:r>
          </w:p>
          <w:p>
            <w:pPr>
              <w:spacing w:after="0" w:before="0" w:line="252"/>
            </w:pPr>
            <w:r>
              <w:rPr>
                <w:rFonts w:ascii="Calibri" w:cs="Calibri" w:eastAsia="Calibri" w:hAnsi="Calibri"/>
                <w:sz w:val="18"/>
                <w:szCs w:val="18"/>
              </w:rPr>
              <w:t xml:space="preserve">Effort down from 14 to about 10 hours in scope</w:t>
            </w:r>
          </w:p>
        </w:tc>
      </w:tr>
      <w:tr>
        <w:trPr>
          <w:cantSplit/>
          <w:tblHeader w:val="false"/>
        </w:trPr>
        <w:tc>
          <w:tcPr>
            <w:tcW w:type="dxa" w:w="423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Runs read-only or propose-only (tiers 1 and 2): no writes to systems of record yet.</w:t>
            </w:r>
          </w:p>
        </w:tc>
        <w:tc>
          <w:tcPr>
            <w:tcW w:type="dxa" w:w="912"/>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Yes</w:t>
            </w:r>
          </w:p>
        </w:tc>
        <w:tc>
          <w:tcPr>
            <w:tcW w:type="dxa" w:w="421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Entity resolution and independence agents at tiers 1–2, while people still draft letters and set up SAP</w:t>
            </w:r>
          </w:p>
        </w:tc>
      </w:tr>
      <w:tr>
        <w:trPr>
          <w:cantSplit/>
          <w:tblHeader w:val="false"/>
        </w:trPr>
        <w:tc>
          <w:tcPr>
            <w:tcW w:type="dxa" w:w="423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Uses systems and data that are reachable now, or with one connector.</w:t>
            </w:r>
          </w:p>
        </w:tc>
        <w:tc>
          <w:tcPr>
            <w:tcW w:type="dxa" w:w="912"/>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Yes, with one build</w:t>
            </w:r>
          </w:p>
        </w:tc>
        <w:tc>
          <w:tcPr>
            <w:tcW w:type="dxa" w:w="421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MDM and the independence search API (the search API is built in phase 1)</w:t>
            </w:r>
          </w:p>
        </w:tc>
      </w:tr>
      <w:tr>
        <w:trPr>
          <w:cantSplit/>
          <w:tblHeader w:val="false"/>
        </w:trPr>
        <w:tc>
          <w:tcPr>
            <w:tcW w:type="dxa" w:w="423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Saves time or money that the users and the sponsor can see.</w:t>
            </w:r>
          </w:p>
        </w:tc>
        <w:tc>
          <w:tcPr>
            <w:tcW w:type="dxa" w:w="912"/>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Yes</w:t>
            </w:r>
          </w:p>
        </w:tc>
        <w:tc>
          <w:tcPr>
            <w:tcW w:type="dxa" w:w="421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About four hours saved per launch for managers and Risk reviewers</w:t>
            </w:r>
          </w:p>
        </w:tc>
      </w:tr>
      <w:tr>
        <w:trPr>
          <w:cantSplit/>
          <w:tblHeader w:val="false"/>
        </w:trPr>
        <w:tc>
          <w:tcPr>
            <w:tcW w:type="dxa" w:w="423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Leaves a reusable foundation behind: a registered agent, a governed MCP tool, a golden record or the gateway itself.</w:t>
            </w:r>
          </w:p>
        </w:tc>
        <w:tc>
          <w:tcPr>
            <w:tcW w:type="dxa" w:w="912"/>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Yes</w:t>
            </w:r>
          </w:p>
        </w:tc>
        <w:tc>
          <w:tcPr>
            <w:tcW w:type="dxa" w:w="421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Registry, AI Gateway, the client golden record and the first MCP tools</w:t>
            </w:r>
          </w:p>
        </w:tc>
      </w:tr>
      <w:tr>
        <w:trPr>
          <w:cantSplit/>
          <w:tblHeader w:val="false"/>
        </w:trPr>
        <w:tc>
          <w:tcPr>
            <w:tcW w:type="dxa" w:w="423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Has a baseline taken before it starts, so the movement can be proved.</w:t>
            </w:r>
          </w:p>
        </w:tc>
        <w:tc>
          <w:tcPr>
            <w:tcW w:type="dxa" w:w="912"/>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Yes</w:t>
            </w:r>
          </w:p>
        </w:tc>
        <w:tc>
          <w:tcPr>
            <w:tcW w:type="dxa" w:w="421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Cycle time and effort measured in the service line before go-live</w:t>
            </w:r>
          </w:p>
        </w:tc>
      </w:tr>
    </w:tbl>
    <w:p>
      <w:pPr>
        <w:spacing w:after="120"/>
      </w:pPr>
    </w:p>
    <w:p>
      <w:pPr>
        <w:pStyle w:val="Heading3"/>
        <w:keepNext/>
      </w:pPr>
      <w:r>
        <w:rPr>
          <w:rFonts w:ascii="Calibri" w:cs="Calibri" w:eastAsia="Calibri" w:hAnsi="Calibri"/>
        </w:rPr>
        <w:t xml:space="preserve">Cumulative value and ROI</w:t>
      </w:r>
    </w:p>
    <w:tbl>
      <w:tblPr>
        <w:tblW w:type="dxa" w:w="9360"/>
        <w:tblBorders>
          <w:top w:val="single" w:color="CBD5E1" w:sz="4"/>
          <w:left w:val="single" w:color="CBD5E1" w:sz="4"/>
          <w:bottom w:val="single" w:color="CBD5E1" w:sz="4"/>
          <w:right w:val="single" w:color="CBD5E1" w:sz="4"/>
          <w:insideH w:val="single" w:color="CBD5E1" w:sz="4"/>
          <w:insideV w:val="single" w:color="CBD5E1" w:sz="4"/>
        </w:tblBorders>
        <w:tblLayout w:type="fixed"/>
      </w:tblPr>
      <w:tblGrid>
        <w:gridCol w:w="2699"/>
        <w:gridCol w:w="4157"/>
        <w:gridCol w:w="2504"/>
      </w:tblGrid>
      <w:tr>
        <w:trPr>
          <w:cantSplit/>
          <w:tblHeader/>
        </w:trPr>
        <w:tc>
          <w:tcPr>
            <w:tcW w:type="dxa" w:w="2699"/>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Period</w:t>
            </w:r>
          </w:p>
        </w:tc>
        <w:tc>
          <w:tcPr>
            <w:tcW w:type="dxa" w:w="4157"/>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Run rate in force</w:t>
            </w:r>
          </w:p>
        </w:tc>
        <w:tc>
          <w:tcPr>
            <w:tcW w:type="dxa" w:w="2504"/>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Value</w:t>
            </w:r>
          </w:p>
        </w:tc>
      </w:tr>
      <w:tr>
        <w:trPr>
          <w:cantSplit/>
          <w:tblHeader w:val="false"/>
        </w:trPr>
        <w:tc>
          <w:tcPr>
            <w:tcW w:type="dxa" w:w="2699"/>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Months 3–8</w:t>
            </w:r>
          </w:p>
        </w:tc>
        <w:tc>
          <w:tcPr>
            <w:tcW w:type="dxa" w:w="4157"/>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$0.5M a year for 5 months</w:t>
            </w:r>
          </w:p>
        </w:tc>
        <w:tc>
          <w:tcPr>
            <w:tcW w:type="dxa" w:w="2504"/>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About $0.2M</w:t>
            </w:r>
          </w:p>
        </w:tc>
      </w:tr>
      <w:tr>
        <w:trPr>
          <w:cantSplit/>
          <w:tblHeader w:val="false"/>
        </w:trPr>
        <w:tc>
          <w:tcPr>
            <w:tcW w:type="dxa" w:w="2699"/>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Months 8–12</w:t>
            </w:r>
          </w:p>
        </w:tc>
        <w:tc>
          <w:tcPr>
            <w:tcW w:type="dxa" w:w="4157"/>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$8M a year for 4 months</w:t>
            </w:r>
          </w:p>
        </w:tc>
        <w:tc>
          <w:tcPr>
            <w:tcW w:type="dxa" w:w="2504"/>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About $2.7M</w:t>
            </w:r>
          </w:p>
        </w:tc>
      </w:tr>
      <w:tr>
        <w:trPr>
          <w:cantSplit/>
          <w:tblHeader w:val="false"/>
        </w:trPr>
        <w:tc>
          <w:tcPr>
            <w:tcW w:type="dxa" w:w="2699"/>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Months 12–24</w:t>
            </w:r>
          </w:p>
        </w:tc>
        <w:tc>
          <w:tcPr>
            <w:tcW w:type="dxa" w:w="4157"/>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$30M a year for 12 months</w:t>
            </w:r>
          </w:p>
        </w:tc>
        <w:tc>
          <w:tcPr>
            <w:tcW w:type="dxa" w:w="2504"/>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About $30.0M</w:t>
            </w:r>
          </w:p>
        </w:tc>
      </w:tr>
      <w:tr>
        <w:trPr>
          <w:cantSplit/>
          <w:tblHeader w:val="false"/>
        </w:trPr>
        <w:tc>
          <w:tcPr>
            <w:tcW w:type="dxa" w:w="2699"/>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Total by month 24</w:t>
            </w:r>
          </w:p>
        </w:tc>
        <w:tc>
          <w:tcPr>
            <w:tcW w:type="dxa" w:w="4157"/>
            <w:tcMar>
              <w:top w:type="dxa" w:w="60"/>
              <w:left w:type="dxa" w:w="100"/>
              <w:bottom w:type="dxa" w:w="60"/>
              <w:right w:type="dxa" w:w="100"/>
            </w:tcMar>
            <w:vAlign w:val="top"/>
          </w:tcPr>
          <w:p>
            <w:pPr>
              <w:spacing w:after="0" w:before="0" w:line="252"/>
            </w:pPr>
          </w:p>
        </w:tc>
        <w:tc>
          <w:tcPr>
            <w:tcW w:type="dxa" w:w="2504"/>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About $33M</w:t>
            </w:r>
          </w:p>
        </w:tc>
      </w:tr>
    </w:tbl>
    <w:p>
      <w:pPr>
        <w:spacing w:after="120"/>
      </w:pPr>
    </w:p>
    <w:p>
      <w:pPr>
        <w:keepNext/>
        <w:spacing w:after="60" w:before="120" w:line="240" w:lineRule="auto"/>
        <w:jc w:val="center"/>
      </w:pPr>
      <w:r>
        <w:drawing>
          <wp:inline distT="0" distB="0" distL="0" distR="0">
            <wp:extent cx="5943600" cy="2371725"/>
            <wp:effectExtent t="0" r="0" b="0" l="0"/>
            <wp:docPr id="12" name="Figure 16" descr="Run-rate value at each milestone" title="Fig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 descr=""/>
                    <pic:cNvPicPr>
                      <a:picLocks noChangeAspect="1" noChangeArrowheads="1"/>
                    </pic:cNvPicPr>
                  </pic:nvPicPr>
                  <pic:blipFill>
                    <a:blip r:embed="rId22" cstate="none"/>
                    <a:srcRect/>
                    <a:stretch>
                      <a:fillRect/>
                    </a:stretch>
                  </pic:blipFill>
                  <pic:spPr bwMode="auto">
                    <a:xfrm>
                      <a:off x="0" y="0"/>
                      <a:ext cx="5943600" cy="2371725"/>
                    </a:xfrm>
                    <a:prstGeom prst="rect">
                      <a:avLst/>
                    </a:prstGeom>
                  </pic:spPr>
                </pic:pic>
              </a:graphicData>
            </a:graphic>
          </wp:inline>
        </w:drawing>
      </w:r>
    </w:p>
    <w:p>
      <w:pPr>
        <w:spacing w:after="240"/>
      </w:pPr>
      <w:r>
        <w:rPr>
          <w:rFonts w:ascii="Calibri" w:cs="Calibri" w:eastAsia="Calibri" w:hAnsi="Calibri"/>
          <w:i/>
          <w:iCs/>
          <w:color w:val="64748B"/>
          <w:sz w:val="18"/>
          <w:szCs w:val="18"/>
        </w:rPr>
        <w:t xml:space="preserve">Figure 16. Run-rate value at each milestone and how the cumulative value adds up (client deck, Part 1; illustrative).</w:t>
      </w:r>
    </w:p>
    <w:p>
      <w:pPr>
        <w:spacing w:after="140"/>
      </w:pPr>
      <w:r>
        <w:rPr>
          <w:rFonts w:ascii="Calibri" w:cs="Calibri" w:eastAsia="Calibri" w:hAnsi="Calibri"/>
        </w:rPr>
        <w:t xml:space="preserve">Net ROI and payback follow once the project team has estimated platform, model and change costs: ROI = (cumulative value − cumulative cost) ÷ cumulative cost, and payback is the month in which cumulative value first exceeds cumulative cost. Report both at every milestone review.</w:t>
      </w:r>
    </w:p>
    <w:tbl>
      <w:tblPr>
        <w:tblW w:type="dxa" w:w="9360"/>
        <w:tblBorders>
          <w:top w:val="single" w:color="CBD5E1" w:sz="4"/>
          <w:left w:val="single" w:color="CBD5E1" w:sz="4"/>
          <w:bottom w:val="single" w:color="CBD5E1" w:sz="4"/>
          <w:right w:val="single" w:color="CBD5E1" w:sz="4"/>
          <w:insideH w:val="single" w:color="CBD5E1" w:sz="4"/>
          <w:insideV w:val="single" w:color="CBD5E1" w:sz="4"/>
        </w:tblBorders>
        <w:tblLayout w:type="fixed"/>
      </w:tblPr>
      <w:tblGrid>
        <w:gridCol w:w="1480"/>
        <w:gridCol w:w="7880"/>
      </w:tblGrid>
      <w:tr>
        <w:trPr>
          <w:cantSplit/>
          <w:tblHeader w:val="false"/>
        </w:trPr>
        <w:tc>
          <w:tcPr>
            <w:tcW w:type="dxa" w:w="1480"/>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Payback benchmark</w:t>
            </w:r>
          </w:p>
        </w:tc>
        <w:tc>
          <w:tcPr>
            <w:tcW w:type="dxa" w:w="788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Typical AI payback is two to four years, against seven to 12 months for other technology investments, while 67% of CEOs expect AI returns within one to three years</w:t>
            </w:r>
            <w:hyperlink w:history="1" w:anchor="en_82">
              <w:r>
                <w:rPr>
                  <w:rFonts w:ascii="Calibri" w:cs="Calibri" w:eastAsia="Calibri" w:hAnsi="Calibri"/>
                  <w:color w:val="0369A1"/>
                  <w:sz w:val="18"/>
                  <w:szCs w:val="18"/>
                  <w:vertAlign w:val="superscript"/>
                </w:rPr>
                <w:t xml:space="preserve">82</w:t>
              </w:r>
            </w:hyperlink>
            <w:r>
              <w:rPr>
                <w:rFonts w:ascii="Calibri" w:cs="Calibri" w:eastAsia="Calibri" w:hAnsi="Calibri"/>
                <w:sz w:val="18"/>
                <w:szCs w:val="18"/>
                <w:vertAlign w:val="superscript"/>
              </w:rPr>
              <w:t xml:space="preserve">,</w:t>
            </w:r>
            <w:hyperlink w:history="1" w:anchor="en_83">
              <w:r>
                <w:rPr>
                  <w:rFonts w:ascii="Calibri" w:cs="Calibri" w:eastAsia="Calibri" w:hAnsi="Calibri"/>
                  <w:color w:val="0369A1"/>
                  <w:sz w:val="18"/>
                  <w:szCs w:val="18"/>
                  <w:vertAlign w:val="superscript"/>
                </w:rPr>
                <w:t xml:space="preserve">83</w:t>
              </w:r>
            </w:hyperlink>
          </w:p>
        </w:tc>
      </w:tr>
      <w:tr>
        <w:trPr>
          <w:cantSplit/>
          <w:tblHeader w:val="false"/>
        </w:trPr>
        <w:tc>
          <w:tcPr>
            <w:tcW w:type="dxa" w:w="1480"/>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This plan</w:t>
            </w:r>
          </w:p>
        </w:tc>
        <w:tc>
          <w:tcPr>
            <w:tcW w:type="dxa" w:w="788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Value from month 3 in one service line and the full run rate from month 12, with the payback month following once costs are estimated (illustrative)</w:t>
            </w:r>
          </w:p>
        </w:tc>
      </w:tr>
      <w:tr>
        <w:trPr>
          <w:cantSplit/>
          <w:tblHeader w:val="false"/>
        </w:trPr>
        <w:tc>
          <w:tcPr>
            <w:tcW w:type="dxa" w:w="1480"/>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Horizons</w:t>
            </w:r>
          </w:p>
        </w:tc>
        <w:tc>
          <w:tcPr>
            <w:tcW w:type="dxa" w:w="7880"/>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Read-only and drafting slices (months 3 and 8) judged in months</w:t>
            </w:r>
          </w:p>
          <w:p>
            <w:pPr>
              <w:spacing w:after="0" w:before="0" w:line="252"/>
            </w:pPr>
            <w:r>
              <w:rPr>
                <w:rFonts w:ascii="Calibri" w:cs="Calibri" w:eastAsia="Calibri" w:hAnsi="Calibri"/>
                <w:sz w:val="18"/>
                <w:szCs w:val="18"/>
              </w:rPr>
              <w:t xml:space="preserve">The gated SAP setup, which acts in a system of record, judged on the 12-month horizon</w:t>
            </w:r>
          </w:p>
        </w:tc>
      </w:tr>
      <w:tr>
        <w:trPr>
          <w:cantSplit/>
          <w:tblHeader w:val="false"/>
        </w:trPr>
        <w:tc>
          <w:tcPr>
            <w:tcW w:type="dxa" w:w="1480"/>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Cost data</w:t>
            </w:r>
          </w:p>
        </w:tc>
        <w:tc>
          <w:tcPr>
            <w:tcW w:type="dxa" w:w="7880"/>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AI spend attributed to each engagement from phase 1 (NFR-02)</w:t>
            </w:r>
          </w:p>
          <w:p>
            <w:pPr>
              <w:spacing w:after="0" w:before="0" w:line="252"/>
            </w:pPr>
            <w:r>
              <w:rPr>
                <w:rFonts w:ascii="Calibri" w:cs="Calibri" w:eastAsia="Calibri" w:hAnsi="Calibri"/>
                <w:sz w:val="18"/>
                <w:szCs w:val="18"/>
              </w:rPr>
              <w:t xml:space="preserve">Billing data in the FOCUS format where the providers support it</w:t>
            </w:r>
          </w:p>
        </w:tc>
      </w:tr>
    </w:tbl>
    <w:p>
      <w:pPr>
        <w:spacing w:after="120"/>
      </w:pPr>
    </w:p>
    <w:tbl>
      <w:tblPr>
        <w:tblW w:type="dxa" w:w="9360"/>
        <w:tblBorders>
          <w:top w:val="single" w:color="CBD5E1" w:sz="4"/>
          <w:left w:val="single" w:color="CBD5E1" w:sz="4"/>
          <w:bottom w:val="single" w:color="CBD5E1" w:sz="4"/>
          <w:right w:val="single" w:color="CBD5E1" w:sz="4"/>
          <w:insideH w:val="single" w:color="CBD5E1" w:sz="4"/>
          <w:insideV w:val="single" w:color="CBD5E1" w:sz="4"/>
        </w:tblBorders>
        <w:tblLayout w:type="fixed"/>
      </w:tblPr>
      <w:tblGrid>
        <w:gridCol w:w="9360"/>
      </w:tblGrid>
      <w:tr>
        <w:trPr>
          <w:cantSplit/>
        </w:trPr>
        <w:tc>
          <w:tcPr>
            <w:tcW w:type="dxa" w:w="9360"/>
            <w:shd w:fill="F1F5F9" w:color="auto" w:val="clear"/>
            <w:tcMar>
              <w:top w:type="dxa" w:w="140"/>
              <w:left w:type="dxa" w:w="200"/>
              <w:bottom w:type="dxa" w:w="140"/>
              <w:right w:type="dxa" w:w="200"/>
            </w:tcMar>
          </w:tcPr>
          <w:p>
            <w:pPr>
              <w:spacing w:after="100"/>
            </w:pPr>
            <w:r>
              <w:rPr>
                <w:rFonts w:ascii="Calibri" w:cs="Calibri" w:eastAsia="Calibri" w:hAnsi="Calibri"/>
                <w:b/>
                <w:bCs/>
                <w:color w:val="1E293B"/>
                <w:sz w:val="22"/>
                <w:szCs w:val="22"/>
              </w:rPr>
              <w:t xml:space="preserve">Why it is filled this way</w:t>
            </w:r>
          </w:p>
          <w:p>
            <w:pPr>
              <w:spacing w:after="80"/>
            </w:pPr>
            <w:r>
              <w:rPr>
                <w:rFonts w:ascii="Calibri" w:cs="Calibri" w:eastAsia="Calibri" w:hAnsi="Calibri"/>
                <w:sz w:val="20"/>
                <w:szCs w:val="20"/>
              </w:rPr>
              <w:t xml:space="preserve">The first slice passes every quick-win test, so value is visible within a quarter while the platform’s foundations go in.</w:t>
            </w:r>
          </w:p>
          <w:p>
            <w:pPr>
              <w:spacing w:after="80"/>
            </w:pPr>
            <w:r>
              <w:rPr>
                <w:rFonts w:ascii="Calibri" w:cs="Calibri" w:eastAsia="Calibri" w:hAnsi="Calibri"/>
                <w:sz w:val="20"/>
                <w:szCs w:val="20"/>
              </w:rPr>
              <w:t xml:space="preserve">Capacity and utilization gains start early, from assembling, checking and drafting. The revenue protected by timely charge codes arrives in phase 3, when agents can write to SAP under bound approvals, which is why month 12 carries most of the value.</w:t>
            </w:r>
          </w:p>
          <w:p>
            <w:pPr>
              <w:spacing w:after="80"/>
            </w:pPr>
            <w:r>
              <w:rPr>
                <w:rFonts w:ascii="Calibri" w:cs="Calibri" w:eastAsia="Calibri" w:hAnsi="Calibri"/>
                <w:sz w:val="20"/>
                <w:szCs w:val="20"/>
              </w:rPr>
              <w:t xml:space="preserve">Cumulative value counts each run rate only from its milestone. Costs are left to the project team’s estimate and are not guessed.</w:t>
            </w:r>
          </w:p>
        </w:tc>
      </w:tr>
    </w:tbl>
    <w:p>
      <w:pPr>
        <w:spacing w:after="120"/>
      </w:pPr>
    </w:p>
    <w:p>
      <w:pPr>
        <w:pStyle w:val="Heading2"/>
        <w:keepNext/>
        <w:pageBreakBefore/>
      </w:pPr>
      <w:bookmarkStart w:name="p2_T12" w:id="28"/>
      <w:r>
        <w:rPr>
          <w:rFonts w:ascii="Calibri" w:cs="Calibri" w:eastAsia="Calibri" w:hAnsi="Calibri"/>
        </w:rPr>
        <w:t xml:space="preserve">T12 filled: decisions, risks and next steps</w:t>
      </w:r>
      <w:bookmarkEnd w:id="28"/>
    </w:p>
    <w:tbl>
      <w:tblPr>
        <w:tblW w:type="dxa" w:w="9360"/>
        <w:tblBorders>
          <w:top w:val="single" w:color="CBD5E1" w:sz="4"/>
          <w:left w:val="single" w:color="CBD5E1" w:sz="4"/>
          <w:bottom w:val="single" w:color="CBD5E1" w:sz="4"/>
          <w:right w:val="single" w:color="CBD5E1" w:sz="4"/>
          <w:insideH w:val="single" w:color="CBD5E1" w:sz="4"/>
          <w:insideV w:val="single" w:color="CBD5E1" w:sz="4"/>
        </w:tblBorders>
        <w:tblLayout w:type="fixed"/>
      </w:tblPr>
      <w:tblGrid>
        <w:gridCol w:w="1317"/>
        <w:gridCol w:w="5139"/>
        <w:gridCol w:w="1437"/>
        <w:gridCol w:w="1467"/>
      </w:tblGrid>
      <w:tr>
        <w:trPr>
          <w:cantSplit/>
          <w:tblHeader/>
        </w:trPr>
        <w:tc>
          <w:tcPr>
            <w:tcW w:type="dxa" w:w="1317"/>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Decision</w:t>
            </w:r>
          </w:p>
        </w:tc>
        <w:tc>
          <w:tcPr>
            <w:tcW w:type="dxa" w:w="5139"/>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What it covers</w:t>
            </w:r>
          </w:p>
        </w:tc>
        <w:tc>
          <w:tcPr>
            <w:tcW w:type="dxa" w:w="1437"/>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Owner</w:t>
            </w:r>
          </w:p>
        </w:tc>
        <w:tc>
          <w:tcPr>
            <w:tcW w:type="dxa" w:w="1467"/>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By when</w:t>
            </w:r>
          </w:p>
        </w:tc>
      </w:tr>
      <w:tr>
        <w:trPr>
          <w:cantSplit/>
          <w:tblHeader w:val="false"/>
        </w:trPr>
        <w:tc>
          <w:tcPr>
            <w:tcW w:type="dxa" w:w="1317"/>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Name an owner</w:t>
            </w:r>
          </w:p>
        </w:tc>
        <w:tc>
          <w:tcPr>
            <w:tcW w:type="dxa" w:w="5139"/>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One accountable executive and an AI governance council spanning architecture, security, data and the business, covering agents, models and AI spend, with a sponsor for every agent.</w:t>
            </w:r>
          </w:p>
        </w:tc>
        <w:tc>
          <w:tcPr>
            <w:tcW w:type="dxa" w:w="1437"/>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Managing partner, operations</w:t>
            </w:r>
          </w:p>
        </w:tc>
        <w:tc>
          <w:tcPr>
            <w:tcW w:type="dxa" w:w="1467"/>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Readout plus two weeks</w:t>
            </w:r>
          </w:p>
        </w:tc>
      </w:tr>
      <w:tr>
        <w:trPr>
          <w:cantSplit/>
          <w:tblHeader w:val="false"/>
        </w:trPr>
        <w:tc>
          <w:tcPr>
            <w:tcW w:type="dxa" w:w="1317"/>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Fund phase 1</w:t>
            </w:r>
          </w:p>
        </w:tc>
        <w:tc>
          <w:tcPr>
            <w:tcW w:type="dxa" w:w="5139"/>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 90-day program in one service line in one region. Entity resolution and independence agents run in read-only mode, every model and tool call goes through AI Gateway, and KPIs are baselined with finance.</w:t>
            </w:r>
          </w:p>
        </w:tc>
        <w:tc>
          <w:tcPr>
            <w:tcW w:type="dxa" w:w="1437"/>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Managing partner, operations</w:t>
            </w:r>
          </w:p>
        </w:tc>
        <w:tc>
          <w:tcPr>
            <w:tcW w:type="dxa" w:w="1467"/>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Readout plus two weeks</w:t>
            </w:r>
          </w:p>
        </w:tc>
      </w:tr>
      <w:tr>
        <w:trPr>
          <w:cantSplit/>
          <w:tblHeader w:val="false"/>
        </w:trPr>
        <w:tc>
          <w:tcPr>
            <w:tcW w:type="dxa" w:w="1317"/>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Adopt the standards</w:t>
            </w:r>
          </w:p>
        </w:tc>
        <w:tc>
          <w:tcPr>
            <w:tcW w:type="dxa" w:w="5139"/>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API-led connectivity, MCP and A2A as enterprise policy, with every agent registered and routed through the control plane, whatever platform built it.</w:t>
            </w:r>
          </w:p>
        </w:tc>
        <w:tc>
          <w:tcPr>
            <w:tcW w:type="dxa" w:w="1437"/>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Chief architect</w:t>
            </w:r>
          </w:p>
        </w:tc>
        <w:tc>
          <w:tcPr>
            <w:tcW w:type="dxa" w:w="1467"/>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Readout plus two weeks</w:t>
            </w:r>
          </w:p>
        </w:tc>
      </w:tr>
      <w:tr>
        <w:trPr>
          <w:cantSplit/>
          <w:tblHeader w:val="false"/>
        </w:trPr>
        <w:tc>
          <w:tcPr>
            <w:tcW w:type="dxa" w:w="1317"/>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Agree how value is reported</w:t>
            </w:r>
          </w:p>
        </w:tc>
        <w:tc>
          <w:tcPr>
            <w:tcW w:type="dxa" w:w="5139"/>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Baseline the KPIs with finance now and report value at every milestone review</w:t>
            </w:r>
          </w:p>
        </w:tc>
        <w:tc>
          <w:tcPr>
            <w:tcW w:type="dxa" w:w="1437"/>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Finance partner</w:t>
            </w:r>
          </w:p>
        </w:tc>
        <w:tc>
          <w:tcPr>
            <w:tcW w:type="dxa" w:w="1467"/>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Before phase 1 starts</w:t>
            </w:r>
          </w:p>
        </w:tc>
      </w:tr>
    </w:tbl>
    <w:p>
      <w:pPr>
        <w:spacing w:after="120"/>
      </w:pPr>
    </w:p>
    <w:p>
      <w:pPr>
        <w:pStyle w:val="Heading3"/>
        <w:keepNext/>
      </w:pPr>
      <w:r>
        <w:rPr>
          <w:rFonts w:ascii="Calibri" w:cs="Calibri" w:eastAsia="Calibri" w:hAnsi="Calibri"/>
        </w:rPr>
        <w:t xml:space="preserve">Risks</w:t>
      </w:r>
    </w:p>
    <w:tbl>
      <w:tblPr>
        <w:tblW w:type="dxa" w:w="9360"/>
        <w:tblBorders>
          <w:top w:val="single" w:color="CBD5E1" w:sz="4"/>
          <w:left w:val="single" w:color="CBD5E1" w:sz="4"/>
          <w:bottom w:val="single" w:color="CBD5E1" w:sz="4"/>
          <w:right w:val="single" w:color="CBD5E1" w:sz="4"/>
          <w:insideH w:val="single" w:color="CBD5E1" w:sz="4"/>
          <w:insideV w:val="single" w:color="CBD5E1" w:sz="4"/>
        </w:tblBorders>
        <w:tblLayout w:type="fixed"/>
      </w:tblPr>
      <w:tblGrid>
        <w:gridCol w:w="1360"/>
        <w:gridCol w:w="3143"/>
        <w:gridCol w:w="3616"/>
        <w:gridCol w:w="1241"/>
      </w:tblGrid>
      <w:tr>
        <w:trPr>
          <w:cantSplit/>
          <w:tblHeader/>
        </w:trPr>
        <w:tc>
          <w:tcPr>
            <w:tcW w:type="dxa" w:w="1360"/>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Risk</w:t>
            </w:r>
          </w:p>
        </w:tc>
        <w:tc>
          <w:tcPr>
            <w:tcW w:type="dxa" w:w="3143"/>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Impact</w:t>
            </w:r>
          </w:p>
        </w:tc>
        <w:tc>
          <w:tcPr>
            <w:tcW w:type="dxa" w:w="3616"/>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Mitigation</w:t>
            </w:r>
          </w:p>
        </w:tc>
        <w:tc>
          <w:tcPr>
            <w:tcW w:type="dxa" w:w="1241"/>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Owner</w:t>
            </w:r>
          </w:p>
        </w:tc>
      </w:tr>
      <w:tr>
        <w:trPr>
          <w:cantSplit/>
          <w:tblHeader w:val="false"/>
        </w:trPr>
        <w:tc>
          <w:tcPr>
            <w:tcW w:type="dxa" w:w="1360"/>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Hierarchy data quality</w:t>
            </w:r>
          </w:p>
        </w:tc>
        <w:tc>
          <w:tcPr>
            <w:tcW w:type="dxa" w:w="3143"/>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 missed subsidiary is a missed conflict</w:t>
            </w:r>
          </w:p>
        </w:tc>
        <w:tc>
          <w:tcPr>
            <w:tcW w:type="dxa" w:w="3616"/>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Data-quality rules for freshness, duplicates and missing identifiers</w:t>
            </w:r>
          </w:p>
          <w:p>
            <w:pPr>
              <w:spacing w:after="0" w:before="0" w:line="252"/>
            </w:pPr>
            <w:r>
              <w:rPr>
                <w:rFonts w:ascii="Calibri" w:cs="Calibri" w:eastAsia="Calibri" w:hAnsi="Calibri"/>
                <w:sz w:val="18"/>
                <w:szCs w:val="18"/>
              </w:rPr>
              <w:t xml:space="preserve">Stewardship before phase 1 goes live</w:t>
            </w:r>
          </w:p>
        </w:tc>
        <w:tc>
          <w:tcPr>
            <w:tcW w:type="dxa" w:w="1241"/>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Data governance</w:t>
            </w:r>
          </w:p>
        </w:tc>
      </w:tr>
      <w:tr>
        <w:trPr>
          <w:cantSplit/>
          <w:tblHeader w:val="false"/>
        </w:trPr>
        <w:tc>
          <w:tcPr>
            <w:tcW w:type="dxa" w:w="1360"/>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MCP coverage for data services</w:t>
            </w:r>
          </w:p>
        </w:tc>
        <w:tc>
          <w:tcPr>
            <w:tcW w:type="dxa" w:w="3143"/>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The Informatica MCP servers may not cover every master data operation the agents need, such as resolve_entity and get_hierarchy</w:t>
            </w:r>
          </w:p>
        </w:tc>
        <w:tc>
          <w:tcPr>
            <w:tcW w:type="dxa" w:w="3616"/>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Map each data operation to an Informatica MCP server or an MDM API during planning, and expose the APIs as MCP tools through MCP Bridge</w:t>
            </w:r>
          </w:p>
        </w:tc>
        <w:tc>
          <w:tcPr>
            <w:tcW w:type="dxa" w:w="1241"/>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Lead architect</w:t>
            </w:r>
          </w:p>
        </w:tc>
      </w:tr>
      <w:tr>
        <w:trPr>
          <w:cantSplit/>
          <w:tblHeader w:val="false"/>
        </w:trPr>
        <w:tc>
          <w:tcPr>
            <w:tcW w:type="dxa" w:w="1360"/>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Evaluation tooling</w:t>
            </w:r>
          </w:p>
        </w:tc>
        <w:tc>
          <w:tcPr>
            <w:tcW w:type="dxa" w:w="3143"/>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Promotion depends on evaluation suites, and the firm has no evaluation tool today</w:t>
            </w:r>
          </w:p>
        </w:tc>
        <w:tc>
          <w:tcPr>
            <w:tcW w:type="dxa" w:w="3616"/>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Choose an evaluation tool and agree the thresholds before phase 2</w:t>
            </w:r>
          </w:p>
          <w:p>
            <w:pPr>
              <w:spacing w:after="0" w:before="0" w:line="252"/>
            </w:pPr>
            <w:r>
              <w:rPr>
                <w:rFonts w:ascii="Calibri" w:cs="Calibri" w:eastAsia="Calibri" w:hAnsi="Calibri"/>
                <w:sz w:val="18"/>
                <w:szCs w:val="18"/>
              </w:rPr>
              <w:t xml:space="preserve">Record the results with each promotion decision</w:t>
            </w:r>
          </w:p>
        </w:tc>
        <w:tc>
          <w:tcPr>
            <w:tcW w:type="dxa" w:w="1241"/>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Lead architect</w:t>
            </w:r>
          </w:p>
          <w:p>
            <w:pPr>
              <w:spacing w:after="0" w:before="0" w:line="252"/>
            </w:pPr>
            <w:r>
              <w:rPr>
                <w:rFonts w:ascii="Calibri" w:cs="Calibri" w:eastAsia="Calibri" w:hAnsi="Calibri"/>
                <w:sz w:val="18"/>
                <w:szCs w:val="18"/>
              </w:rPr>
              <w:t xml:space="preserve">AI governance council</w:t>
            </w:r>
          </w:p>
        </w:tc>
      </w:tr>
      <w:tr>
        <w:trPr>
          <w:cantSplit/>
          <w:tblHeader w:val="false"/>
        </w:trPr>
        <w:tc>
          <w:tcPr>
            <w:tcW w:type="dxa" w:w="1360"/>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Connector coverage</w:t>
            </w:r>
          </w:p>
        </w:tc>
        <w:tc>
          <w:tcPr>
            <w:tcW w:type="dxa" w:w="3143"/>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The independence system and document management may need custom APIs</w:t>
            </w:r>
          </w:p>
        </w:tc>
        <w:tc>
          <w:tcPr>
            <w:tcW w:type="dxa" w:w="3616"/>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Confirm connector coverage for every system and size custom API work in phase 1</w:t>
            </w:r>
          </w:p>
        </w:tc>
        <w:tc>
          <w:tcPr>
            <w:tcW w:type="dxa" w:w="1241"/>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Lead architect</w:t>
            </w:r>
          </w:p>
        </w:tc>
      </w:tr>
      <w:tr>
        <w:trPr>
          <w:cantSplit/>
          <w:tblHeader w:val="false"/>
        </w:trPr>
        <w:tc>
          <w:tcPr>
            <w:tcW w:type="dxa" w:w="1360"/>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Custom policy ownership</w:t>
            </w:r>
          </w:p>
        </w:tc>
        <w:tc>
          <w:tcPr>
            <w:tcW w:type="dxa" w:w="3143"/>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Approval binding is a custom Omni Gateway policy, not a MuleSoft product</w:t>
            </w:r>
          </w:p>
        </w:tc>
        <w:tc>
          <w:tcPr>
            <w:tcW w:type="dxa" w:w="3616"/>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Agree who builds, tests and supports it before phase 3</w:t>
            </w:r>
            <w:hyperlink w:history="1" w:anchor="en_78">
              <w:r>
                <w:rPr>
                  <w:rFonts w:ascii="Calibri" w:cs="Calibri" w:eastAsia="Calibri" w:hAnsi="Calibri"/>
                  <w:color w:val="0369A1"/>
                  <w:sz w:val="18"/>
                  <w:szCs w:val="18"/>
                  <w:vertAlign w:val="superscript"/>
                </w:rPr>
                <w:t xml:space="preserve">78</w:t>
              </w:r>
            </w:hyperlink>
          </w:p>
        </w:tc>
        <w:tc>
          <w:tcPr>
            <w:tcW w:type="dxa" w:w="1241"/>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Enterprise architect</w:t>
            </w:r>
          </w:p>
        </w:tc>
      </w:tr>
      <w:tr>
        <w:trPr>
          <w:cantSplit/>
          <w:tblHeader w:val="false"/>
        </w:trPr>
        <w:tc>
          <w:tcPr>
            <w:tcW w:type="dxa" w:w="1360"/>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Adoption</w:t>
            </w:r>
          </w:p>
        </w:tc>
        <w:tc>
          <w:tcPr>
            <w:tcW w:type="dxa" w:w="3143"/>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Risk &amp; Quality must trust agent-assembled findings</w:t>
            </w:r>
          </w:p>
          <w:p>
            <w:pPr>
              <w:spacing w:after="0" w:before="0" w:line="252"/>
            </w:pPr>
            <w:r>
              <w:rPr>
                <w:rFonts w:ascii="Calibri" w:cs="Calibri" w:eastAsia="Calibri" w:hAnsi="Calibri"/>
                <w:sz w:val="18"/>
                <w:szCs w:val="18"/>
              </w:rPr>
              <w:t xml:space="preserve">Partners must use mobile approvals</w:t>
            </w:r>
          </w:p>
        </w:tc>
        <w:tc>
          <w:tcPr>
            <w:tcW w:type="dxa" w:w="3616"/>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Start in assist mode, show evidence and lineage, and train reviewers and partners</w:t>
            </w:r>
          </w:p>
        </w:tc>
        <w:tc>
          <w:tcPr>
            <w:tcW w:type="dxa" w:w="1241"/>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Business owner</w:t>
            </w:r>
          </w:p>
        </w:tc>
      </w:tr>
      <w:tr>
        <w:trPr>
          <w:cantSplit/>
          <w:tblHeader w:val="false"/>
        </w:trPr>
        <w:tc>
          <w:tcPr>
            <w:tcW w:type="dxa" w:w="1360"/>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Takeover readiness</w:t>
            </w:r>
          </w:p>
        </w:tc>
        <w:tc>
          <w:tcPr>
            <w:tcW w:type="dxa" w:w="3143"/>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If the setup agent is stopped, launches in flight could stall at the last step</w:t>
            </w:r>
          </w:p>
        </w:tc>
        <w:tc>
          <w:tcPr>
            <w:tcW w:type="dxa" w:w="3616"/>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Write and drill the takeover runbook before tier 3 (OR-03), with finance setting up SAP by hand meanwhile</w:t>
            </w:r>
          </w:p>
        </w:tc>
        <w:tc>
          <w:tcPr>
            <w:tcW w:type="dxa" w:w="1241"/>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Finance</w:t>
            </w:r>
          </w:p>
        </w:tc>
      </w:tr>
    </w:tbl>
    <w:p>
      <w:pPr>
        <w:spacing w:after="120"/>
      </w:pPr>
    </w:p>
    <w:p>
      <w:pPr>
        <w:pStyle w:val="Heading3"/>
        <w:keepNext/>
      </w:pPr>
      <w:r>
        <w:rPr>
          <w:rFonts w:ascii="Calibri" w:cs="Calibri" w:eastAsia="Calibri" w:hAnsi="Calibri"/>
        </w:rPr>
        <w:t xml:space="preserve">Assumptions and dependencies</w:t>
      </w:r>
    </w:p>
    <w:p>
      <w:pPr>
        <w:pStyle w:val="ListParagraph"/>
        <w:numPr>
          <w:ilvl w:val="0"/>
          <w:numId w:val="25"/>
        </w:numPr>
        <w:spacing w:after="60"/>
      </w:pPr>
      <w:r>
        <w:rPr>
          <w:rFonts w:ascii="Calibri" w:cs="Calibri" w:eastAsia="Calibri" w:hAnsi="Calibri"/>
          <w:b/>
          <w:bCs/>
        </w:rPr>
        <w:t xml:space="preserve">Assumption.</w:t>
      </w:r>
      <w:r>
        <w:rPr>
          <w:rFonts w:ascii="Calibri" w:cs="Calibri" w:eastAsia="Calibri" w:hAnsi="Calibri"/>
        </w:rPr>
        <w:t xml:space="preserve"> 10,000 launches a year, 5,000 client-facing staff and 1,800 hours per person a year (illustrative until measured).</w:t>
      </w:r>
    </w:p>
    <w:p>
      <w:pPr>
        <w:pStyle w:val="ListParagraph"/>
        <w:numPr>
          <w:ilvl w:val="0"/>
          <w:numId w:val="25"/>
        </w:numPr>
        <w:spacing w:after="60"/>
      </w:pPr>
      <w:r>
        <w:rPr>
          <w:rFonts w:ascii="Calibri" w:cs="Calibri" w:eastAsia="Calibri" w:hAnsi="Calibri"/>
          <w:b/>
          <w:bCs/>
        </w:rPr>
        <w:t xml:space="preserve">Assumption.</w:t>
      </w:r>
      <w:r>
        <w:rPr>
          <w:rFonts w:ascii="Calibri" w:cs="Calibri" w:eastAsia="Calibri" w:hAnsi="Calibri"/>
        </w:rPr>
        <w:t xml:space="preserve"> $120 an hour loaded cost and a $200 an hour average rate (illustrative until agreed with finance).</w:t>
      </w:r>
    </w:p>
    <w:p>
      <w:pPr>
        <w:pStyle w:val="ListParagraph"/>
        <w:numPr>
          <w:ilvl w:val="0"/>
          <w:numId w:val="25"/>
        </w:numPr>
        <w:spacing w:after="60"/>
      </w:pPr>
      <w:r>
        <w:rPr>
          <w:rFonts w:ascii="Calibri" w:cs="Calibri" w:eastAsia="Calibri" w:hAnsi="Calibri"/>
          <w:b/>
          <w:bCs/>
        </w:rPr>
        <w:t xml:space="preserve">Assumption.</w:t>
      </w:r>
      <w:r>
        <w:rPr>
          <w:rFonts w:ascii="Calibri" w:cs="Calibri" w:eastAsia="Calibri" w:hAnsi="Calibri"/>
        </w:rPr>
        <w:t xml:space="preserve"> About a quarter of launches (2,500 a year) start work before charge codes exist, at about 20 hours each.</w:t>
      </w:r>
    </w:p>
    <w:p>
      <w:pPr>
        <w:pStyle w:val="ListParagraph"/>
        <w:numPr>
          <w:ilvl w:val="0"/>
          <w:numId w:val="25"/>
        </w:numPr>
        <w:spacing w:after="60"/>
      </w:pPr>
      <w:r>
        <w:rPr>
          <w:rFonts w:ascii="Calibri" w:cs="Calibri" w:eastAsia="Calibri" w:hAnsi="Calibri"/>
          <w:b/>
          <w:bCs/>
        </w:rPr>
        <w:t xml:space="preserve">Assumption.</w:t>
      </w:r>
      <w:r>
        <w:rPr>
          <w:rFonts w:ascii="Calibri" w:cs="Calibri" w:eastAsia="Calibri" w:hAnsi="Calibri"/>
        </w:rPr>
        <w:t xml:space="preserve"> Values are before platform, model and change costs, which the project team estimates with the client.</w:t>
      </w:r>
    </w:p>
    <w:p>
      <w:pPr>
        <w:pStyle w:val="ListParagraph"/>
        <w:numPr>
          <w:ilvl w:val="0"/>
          <w:numId w:val="25"/>
        </w:numPr>
        <w:spacing w:after="60"/>
      </w:pPr>
      <w:r>
        <w:rPr>
          <w:rFonts w:ascii="Calibri" w:cs="Calibri" w:eastAsia="Calibri" w:hAnsi="Calibri"/>
          <w:b/>
          <w:bCs/>
        </w:rPr>
        <w:t xml:space="preserve">Dependency.</w:t>
      </w:r>
      <w:r>
        <w:rPr>
          <w:rFonts w:ascii="Calibri" w:cs="Calibri" w:eastAsia="Calibri" w:hAnsi="Calibri"/>
        </w:rPr>
        <w:t xml:space="preserve"> API access to SAP S/4HANA, Workday, Snowflake, the CRM and the independence system, with private connectivity.</w:t>
      </w:r>
    </w:p>
    <w:p>
      <w:pPr>
        <w:pStyle w:val="ListParagraph"/>
        <w:numPr>
          <w:ilvl w:val="0"/>
          <w:numId w:val="25"/>
        </w:numPr>
        <w:spacing w:after="60"/>
      </w:pPr>
      <w:r>
        <w:rPr>
          <w:rFonts w:ascii="Calibri" w:cs="Calibri" w:eastAsia="Calibri" w:hAnsi="Calibri"/>
          <w:b/>
          <w:bCs/>
        </w:rPr>
        <w:t xml:space="preserve">Dependency.</w:t>
      </w:r>
      <w:r>
        <w:rPr>
          <w:rFonts w:ascii="Calibri" w:cs="Calibri" w:eastAsia="Calibri" w:hAnsi="Calibri"/>
        </w:rPr>
        <w:t xml:space="preserve"> Single sign-on with phishing-resistant MFA and step-up authentication for partners.</w:t>
      </w:r>
    </w:p>
    <w:p>
      <w:pPr>
        <w:pStyle w:val="ListParagraph"/>
        <w:numPr>
          <w:ilvl w:val="0"/>
          <w:numId w:val="25"/>
        </w:numPr>
        <w:spacing w:after="60"/>
      </w:pPr>
      <w:r>
        <w:rPr>
          <w:rFonts w:ascii="Calibri" w:cs="Calibri" w:eastAsia="Calibri" w:hAnsi="Calibri"/>
          <w:b/>
          <w:bCs/>
        </w:rPr>
        <w:t xml:space="preserve">Dependency.</w:t>
      </w:r>
      <w:r>
        <w:rPr>
          <w:rFonts w:ascii="Calibri" w:cs="Calibri" w:eastAsia="Calibri" w:hAnsi="Calibri"/>
        </w:rPr>
        <w:t xml:space="preserve"> Model contracts under enterprise terms with zero data retention and approved regions.</w:t>
      </w:r>
    </w:p>
    <w:p>
      <w:pPr>
        <w:pStyle w:val="ListParagraph"/>
        <w:numPr>
          <w:ilvl w:val="0"/>
          <w:numId w:val="25"/>
        </w:numPr>
        <w:spacing w:after="60"/>
      </w:pPr>
      <w:r>
        <w:rPr>
          <w:rFonts w:ascii="Calibri" w:cs="Calibri" w:eastAsia="Calibri" w:hAnsi="Calibri"/>
          <w:b/>
          <w:bCs/>
        </w:rPr>
        <w:t xml:space="preserve">Dependency.</w:t>
      </w:r>
      <w:r>
        <w:rPr>
          <w:rFonts w:ascii="Calibri" w:cs="Calibri" w:eastAsia="Calibri" w:hAnsi="Calibri"/>
        </w:rPr>
        <w:t xml:space="preserve"> A runtime inside the firm’s VPC for gateways and MCP servers where confidentiality requires.</w:t>
      </w:r>
    </w:p>
    <w:p>
      <w:pPr>
        <w:pStyle w:val="ListParagraph"/>
        <w:numPr>
          <w:ilvl w:val="0"/>
          <w:numId w:val="25"/>
        </w:numPr>
        <w:spacing w:after="60"/>
      </w:pPr>
      <w:r>
        <w:rPr>
          <w:rFonts w:ascii="Calibri" w:cs="Calibri" w:eastAsia="Calibri" w:hAnsi="Calibri"/>
          <w:b/>
          <w:bCs/>
        </w:rPr>
        <w:t xml:space="preserve">Dependency.</w:t>
      </w:r>
      <w:r>
        <w:rPr>
          <w:rFonts w:ascii="Calibri" w:cs="Calibri" w:eastAsia="Calibri" w:hAnsi="Calibri"/>
        </w:rPr>
        <w:t xml:space="preserve"> Named data stewards for the client, worker and engagement masters.</w:t>
      </w:r>
    </w:p>
    <w:p>
      <w:pPr>
        <w:pStyle w:val="Heading3"/>
        <w:keepNext/>
      </w:pPr>
      <w:r>
        <w:rPr>
          <w:rFonts w:ascii="Calibri" w:cs="Calibri" w:eastAsia="Calibri" w:hAnsi="Calibri"/>
        </w:rPr>
        <w:t xml:space="preserve">The first 90 days</w:t>
      </w:r>
    </w:p>
    <w:tbl>
      <w:tblPr>
        <w:tblW w:type="dxa" w:w="9360"/>
        <w:tblBorders>
          <w:top w:val="single" w:color="CBD5E1" w:sz="4"/>
          <w:left w:val="single" w:color="CBD5E1" w:sz="4"/>
          <w:bottom w:val="single" w:color="CBD5E1" w:sz="4"/>
          <w:right w:val="single" w:color="CBD5E1" w:sz="4"/>
          <w:insideH w:val="single" w:color="CBD5E1" w:sz="4"/>
          <w:insideV w:val="single" w:color="CBD5E1" w:sz="4"/>
        </w:tblBorders>
        <w:tblLayout w:type="fixed"/>
      </w:tblPr>
      <w:tblGrid>
        <w:gridCol w:w="1348"/>
        <w:gridCol w:w="1908"/>
        <w:gridCol w:w="6104"/>
      </w:tblGrid>
      <w:tr>
        <w:trPr>
          <w:cantSplit/>
          <w:tblHeader/>
        </w:trPr>
        <w:tc>
          <w:tcPr>
            <w:tcW w:type="dxa" w:w="1348"/>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Weeks</w:t>
            </w:r>
          </w:p>
        </w:tc>
        <w:tc>
          <w:tcPr>
            <w:tcW w:type="dxa" w:w="1908"/>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Step</w:t>
            </w:r>
          </w:p>
        </w:tc>
        <w:tc>
          <w:tcPr>
            <w:tcW w:type="dxa" w:w="6104"/>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Activities</w:t>
            </w:r>
          </w:p>
        </w:tc>
      </w:tr>
      <w:tr>
        <w:trPr>
          <w:cantSplit/>
          <w:tblHeader w:val="false"/>
        </w:trPr>
        <w:tc>
          <w:tcPr>
            <w:tcW w:type="dxa" w:w="1348"/>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Weeks 1–2</w:t>
            </w:r>
          </w:p>
        </w:tc>
        <w:tc>
          <w:tcPr>
            <w:tcW w:type="dxa" w:w="190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Pick the scope and baseline</w:t>
            </w:r>
          </w:p>
        </w:tc>
        <w:tc>
          <w:tcPr>
            <w:tcW w:type="dxa" w:w="6104"/>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One service line in one region. Measure today’s cycle time, effort and exceptions with finance.</w:t>
            </w:r>
          </w:p>
        </w:tc>
      </w:tr>
      <w:tr>
        <w:trPr>
          <w:cantSplit/>
          <w:tblHeader w:val="false"/>
        </w:trPr>
        <w:tc>
          <w:tcPr>
            <w:tcW w:type="dxa" w:w="1348"/>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Weeks 3–6</w:t>
            </w:r>
          </w:p>
        </w:tc>
        <w:tc>
          <w:tcPr>
            <w:tcW w:type="dxa" w:w="190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Govern the traffic</w:t>
            </w:r>
          </w:p>
        </w:tc>
        <w:tc>
          <w:tcPr>
            <w:tcW w:type="dxa" w:w="6104"/>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Run Agent Scanners and register agents with owners and tiers. Route every model and tool call through AI Gateway, and stand up the client hierarchy.</w:t>
            </w:r>
          </w:p>
        </w:tc>
      </w:tr>
      <w:tr>
        <w:trPr>
          <w:cantSplit/>
          <w:tblHeader w:val="false"/>
        </w:trPr>
        <w:tc>
          <w:tcPr>
            <w:tcW w:type="dxa" w:w="1348"/>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Weeks 7–10</w:t>
            </w:r>
          </w:p>
        </w:tc>
        <w:tc>
          <w:tcPr>
            <w:tcW w:type="dxa" w:w="190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Start read-only</w:t>
            </w:r>
          </w:p>
        </w:tc>
        <w:tc>
          <w:tcPr>
            <w:tcW w:type="dxa" w:w="6104"/>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Entity resolution and independence agents at tiers 1–2 in assist mode, with evidence and lineage for reviewers.</w:t>
            </w:r>
          </w:p>
        </w:tc>
      </w:tr>
      <w:tr>
        <w:trPr>
          <w:cantSplit/>
          <w:tblHeader w:val="false"/>
        </w:trPr>
        <w:tc>
          <w:tcPr>
            <w:tcW w:type="dxa" w:w="1348"/>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Weeks 11–13</w:t>
            </w:r>
          </w:p>
        </w:tc>
        <w:tc>
          <w:tcPr>
            <w:tcW w:type="dxa" w:w="190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Prove and decide</w:t>
            </w:r>
          </w:p>
        </w:tc>
        <w:tc>
          <w:tcPr>
            <w:tcW w:type="dxa" w:w="6104"/>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Report the KPIs against the baseline, the run-rate value and the AI cost per launch, then decide on phase 2.</w:t>
            </w:r>
          </w:p>
        </w:tc>
      </w:tr>
    </w:tbl>
    <w:p>
      <w:pPr>
        <w:spacing w:after="120"/>
      </w:pPr>
    </w:p>
    <w:tbl>
      <w:tblPr>
        <w:tblW w:type="dxa" w:w="9360"/>
        <w:tblBorders>
          <w:top w:val="single" w:color="CBD5E1" w:sz="4"/>
          <w:left w:val="single" w:color="CBD5E1" w:sz="4"/>
          <w:bottom w:val="single" w:color="CBD5E1" w:sz="4"/>
          <w:right w:val="single" w:color="CBD5E1" w:sz="4"/>
          <w:insideH w:val="single" w:color="CBD5E1" w:sz="4"/>
          <w:insideV w:val="single" w:color="CBD5E1" w:sz="4"/>
        </w:tblBorders>
        <w:tblLayout w:type="fixed"/>
      </w:tblPr>
      <w:tblGrid>
        <w:gridCol w:w="9360"/>
      </w:tblGrid>
      <w:tr>
        <w:trPr>
          <w:cantSplit/>
        </w:trPr>
        <w:tc>
          <w:tcPr>
            <w:tcW w:type="dxa" w:w="9360"/>
            <w:shd w:fill="F1F5F9" w:color="auto" w:val="clear"/>
            <w:tcMar>
              <w:top w:type="dxa" w:w="140"/>
              <w:left w:type="dxa" w:w="200"/>
              <w:bottom w:type="dxa" w:w="140"/>
              <w:right w:type="dxa" w:w="200"/>
            </w:tcMar>
          </w:tcPr>
          <w:p>
            <w:pPr>
              <w:spacing w:after="100"/>
            </w:pPr>
            <w:r>
              <w:rPr>
                <w:rFonts w:ascii="Calibri" w:cs="Calibri" w:eastAsia="Calibri" w:hAnsi="Calibri"/>
                <w:b/>
                <w:bCs/>
                <w:color w:val="1E293B"/>
                <w:sz w:val="22"/>
                <w:szCs w:val="22"/>
              </w:rPr>
              <w:t xml:space="preserve">Why it is filled this way</w:t>
            </w:r>
          </w:p>
          <w:p>
            <w:pPr>
              <w:spacing w:after="80"/>
            </w:pPr>
            <w:r>
              <w:rPr>
                <w:rFonts w:ascii="Calibri" w:cs="Calibri" w:eastAsia="Calibri" w:hAnsi="Calibri"/>
                <w:sz w:val="20"/>
                <w:szCs w:val="20"/>
              </w:rPr>
              <w:t xml:space="preserve">The decisions are the handbook’s three for the first 90 days, plus agreeing how value is reported, which makes the business case provable from the start.</w:t>
            </w:r>
          </w:p>
          <w:p>
            <w:pPr>
              <w:spacing w:after="80"/>
            </w:pPr>
            <w:r>
              <w:rPr>
                <w:rFonts w:ascii="Calibri" w:cs="Calibri" w:eastAsia="Calibri" w:hAnsi="Calibri"/>
                <w:sz w:val="20"/>
                <w:szCs w:val="20"/>
              </w:rPr>
              <w:t xml:space="preserve">Every risk has an owner and a mitigation, including the implementation ones (MCP coverage for data services, evaluation tooling, connector coverage and custom policy ownership) and takeover readiness before tier 3.</w:t>
            </w:r>
          </w:p>
          <w:p>
            <w:pPr>
              <w:spacing w:after="80"/>
            </w:pPr>
            <w:r>
              <w:rPr>
                <w:rFonts w:ascii="Calibri" w:cs="Calibri" w:eastAsia="Calibri" w:hAnsi="Calibri"/>
                <w:sz w:val="20"/>
                <w:szCs w:val="20"/>
              </w:rPr>
              <w:t xml:space="preserve">The 90-day plan ends with a decision on phase 2 based on measured KPIs, run-rate value and AI cost per launch.</w:t>
            </w:r>
          </w:p>
        </w:tc>
      </w:tr>
    </w:tbl>
    <w:p>
      <w:pPr>
        <w:spacing w:after="120"/>
      </w:pPr>
    </w:p>
    <w:p>
      <w:pPr>
        <w:pStyle w:val="Heading2"/>
        <w:keepNext/>
        <w:pageBreakBefore/>
      </w:pPr>
      <w:bookmarkStart w:name="p2_T13" w:id="29"/>
      <w:r>
        <w:rPr>
          <w:rFonts w:ascii="Calibri" w:cs="Calibri" w:eastAsia="Calibri" w:hAnsi="Calibri"/>
        </w:rPr>
        <w:t xml:space="preserve">T13 filled: operating model and adoption plan</w:t>
      </w:r>
      <w:bookmarkEnd w:id="29"/>
    </w:p>
    <w:p>
      <w:pPr>
        <w:pStyle w:val="Heading3"/>
        <w:keepNext/>
      </w:pPr>
      <w:r>
        <w:rPr>
          <w:rFonts w:ascii="Calibri" w:cs="Calibri" w:eastAsia="Calibri" w:hAnsi="Calibri"/>
        </w:rPr>
        <w:t xml:space="preserve">Roles and decision rights</w:t>
      </w:r>
    </w:p>
    <w:tbl>
      <w:tblPr>
        <w:tblW w:type="dxa" w:w="9360"/>
        <w:tblBorders>
          <w:top w:val="single" w:color="CBD5E1" w:sz="4"/>
          <w:left w:val="single" w:color="CBD5E1" w:sz="4"/>
          <w:bottom w:val="single" w:color="CBD5E1" w:sz="4"/>
          <w:right w:val="single" w:color="CBD5E1" w:sz="4"/>
          <w:insideH w:val="single" w:color="CBD5E1" w:sz="4"/>
          <w:insideV w:val="single" w:color="CBD5E1" w:sz="4"/>
        </w:tblBorders>
        <w:tblLayout w:type="fixed"/>
      </w:tblPr>
      <w:tblGrid>
        <w:gridCol w:w="1472"/>
        <w:gridCol w:w="2297"/>
        <w:gridCol w:w="2998"/>
        <w:gridCol w:w="2593"/>
      </w:tblGrid>
      <w:tr>
        <w:trPr>
          <w:cantSplit/>
          <w:tblHeader/>
        </w:trPr>
        <w:tc>
          <w:tcPr>
            <w:tcW w:type="dxa" w:w="1472"/>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Role</w:t>
            </w:r>
          </w:p>
        </w:tc>
        <w:tc>
          <w:tcPr>
            <w:tcW w:type="dxa" w:w="2297"/>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Named person or team</w:t>
            </w:r>
          </w:p>
        </w:tc>
        <w:tc>
          <w:tcPr>
            <w:tcW w:type="dxa" w:w="2998"/>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Owns</w:t>
            </w:r>
          </w:p>
        </w:tc>
        <w:tc>
          <w:tcPr>
            <w:tcW w:type="dxa" w:w="2593"/>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Decides</w:t>
            </w:r>
          </w:p>
        </w:tc>
      </w:tr>
      <w:tr>
        <w:trPr>
          <w:cantSplit/>
          <w:tblHeader w:val="false"/>
        </w:trPr>
        <w:tc>
          <w:tcPr>
            <w:tcW w:type="dxa" w:w="1472"/>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Accountable executive</w:t>
            </w:r>
          </w:p>
        </w:tc>
        <w:tc>
          <w:tcPr>
            <w:tcW w:type="dxa" w:w="2297"/>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Managing partner, operations</w:t>
            </w:r>
          </w:p>
        </w:tc>
        <w:tc>
          <w:tcPr>
            <w:tcW w:type="dxa" w:w="299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The launch program, its funding and its business case</w:t>
            </w:r>
          </w:p>
        </w:tc>
        <w:tc>
          <w:tcPr>
            <w:tcW w:type="dxa" w:w="2593"/>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Which phases proceed, and when</w:t>
            </w:r>
          </w:p>
        </w:tc>
      </w:tr>
      <w:tr>
        <w:trPr>
          <w:cantSplit/>
          <w:tblHeader w:val="false"/>
        </w:trPr>
        <w:tc>
          <w:tcPr>
            <w:tcW w:type="dxa" w:w="1472"/>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AI governance council</w:t>
            </w:r>
          </w:p>
        </w:tc>
        <w:tc>
          <w:tcPr>
            <w:tcW w:type="dxa" w:w="2297"/>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Chief architect (chair), CISO, Risk &amp; Quality, data governance, finance and practice leaders</w:t>
            </w:r>
          </w:p>
        </w:tc>
        <w:tc>
          <w:tcPr>
            <w:tcW w:type="dxa" w:w="299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Policy, autonomy tiers, standards and no-go zones, such as “no agent decides independence”</w:t>
            </w:r>
          </w:p>
        </w:tc>
        <w:tc>
          <w:tcPr>
            <w:tcW w:type="dxa" w:w="2593"/>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Promotions to tier 3</w:t>
            </w:r>
          </w:p>
          <w:p>
            <w:pPr>
              <w:spacing w:after="0" w:before="0" w:line="252"/>
            </w:pPr>
            <w:r>
              <w:rPr>
                <w:rFonts w:ascii="Calibri" w:cs="Calibri" w:eastAsia="Calibri" w:hAnsi="Calibri"/>
                <w:sz w:val="18"/>
                <w:szCs w:val="18"/>
              </w:rPr>
              <w:t xml:space="preserve">Exceptions</w:t>
            </w:r>
          </w:p>
        </w:tc>
      </w:tr>
      <w:tr>
        <w:trPr>
          <w:cantSplit/>
          <w:tblHeader w:val="false"/>
        </w:trPr>
        <w:tc>
          <w:tcPr>
            <w:tcW w:type="dxa" w:w="1472"/>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Business owner</w:t>
            </w:r>
          </w:p>
        </w:tc>
        <w:tc>
          <w:tcPr>
            <w:tcW w:type="dxa" w:w="2297"/>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Head of practice operations</w:t>
            </w:r>
          </w:p>
        </w:tc>
        <w:tc>
          <w:tcPr>
            <w:tcW w:type="dxa" w:w="299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The launch KPIs, the value and the process</w:t>
            </w:r>
          </w:p>
        </w:tc>
        <w:tc>
          <w:tcPr>
            <w:tcW w:type="dxa" w:w="2593"/>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Which stages stay human-led, AI-assisted or AI-led</w:t>
            </w:r>
          </w:p>
          <w:p>
            <w:pPr>
              <w:spacing w:after="0" w:before="0" w:line="252"/>
            </w:pPr>
            <w:r>
              <w:rPr>
                <w:rFonts w:ascii="Calibri" w:cs="Calibri" w:eastAsia="Calibri" w:hAnsi="Calibri"/>
                <w:sz w:val="18"/>
                <w:szCs w:val="18"/>
              </w:rPr>
              <w:t xml:space="preserve">Acceptance of results</w:t>
            </w:r>
          </w:p>
        </w:tc>
      </w:tr>
      <w:tr>
        <w:trPr>
          <w:cantSplit/>
          <w:tblHeader w:val="false"/>
        </w:trPr>
        <w:tc>
          <w:tcPr>
            <w:tcW w:type="dxa" w:w="1472"/>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Agent sponsors</w:t>
            </w:r>
          </w:p>
        </w:tc>
        <w:tc>
          <w:tcPr>
            <w:tcW w:type="dxa" w:w="2297"/>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One named person per agent (T3d)</w:t>
            </w:r>
          </w:p>
        </w:tc>
        <w:tc>
          <w:tcPr>
            <w:tcW w:type="dxa" w:w="299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Their agent from registration to retirement</w:t>
            </w:r>
          </w:p>
        </w:tc>
        <w:tc>
          <w:tcPr>
            <w:tcW w:type="dxa" w:w="2593"/>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Recertification and retirement</w:t>
            </w:r>
          </w:p>
          <w:p>
            <w:pPr>
              <w:spacing w:after="0" w:before="0" w:line="252"/>
            </w:pPr>
            <w:r>
              <w:rPr>
                <w:rFonts w:ascii="Calibri" w:cs="Calibri" w:eastAsia="Calibri" w:hAnsi="Calibri"/>
                <w:sz w:val="18"/>
                <w:szCs w:val="18"/>
              </w:rPr>
              <w:t xml:space="preserve">The first call in an incident</w:t>
            </w:r>
          </w:p>
        </w:tc>
      </w:tr>
      <w:tr>
        <w:trPr>
          <w:cantSplit/>
          <w:tblHeader w:val="false"/>
        </w:trPr>
        <w:tc>
          <w:tcPr>
            <w:tcW w:type="dxa" w:w="1472"/>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Platform team</w:t>
            </w:r>
          </w:p>
        </w:tc>
        <w:tc>
          <w:tcPr>
            <w:tcW w:type="dxa" w:w="2297"/>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Integration and AI platform team (proposed)</w:t>
            </w:r>
          </w:p>
        </w:tc>
        <w:tc>
          <w:tcPr>
            <w:tcW w:type="dxa" w:w="299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Agent Registry, AI Gateway, identity, evaluation and observability</w:t>
            </w:r>
          </w:p>
        </w:tc>
        <w:tc>
          <w:tcPr>
            <w:tcW w:type="dxa" w:w="2593"/>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Shared policies and onboarding standards</w:t>
            </w:r>
          </w:p>
        </w:tc>
      </w:tr>
      <w:tr>
        <w:trPr>
          <w:cantSplit/>
          <w:tblHeader w:val="false"/>
        </w:trPr>
        <w:tc>
          <w:tcPr>
            <w:tcW w:type="dxa" w:w="1472"/>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Security and risk</w:t>
            </w:r>
          </w:p>
        </w:tc>
        <w:tc>
          <w:tcPr>
            <w:tcW w:type="dxa" w:w="2297"/>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CISO, with Risk &amp; Quality</w:t>
            </w:r>
          </w:p>
        </w:tc>
        <w:tc>
          <w:tcPr>
            <w:tcW w:type="dxa" w:w="299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Threat model, red-teaming, incident response and drills</w:t>
            </w:r>
          </w:p>
        </w:tc>
        <w:tc>
          <w:tcPr>
            <w:tcW w:type="dxa" w:w="2593"/>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Blocking a release</w:t>
            </w:r>
          </w:p>
          <w:p>
            <w:pPr>
              <w:spacing w:after="0" w:before="0" w:line="252"/>
            </w:pPr>
            <w:r>
              <w:rPr>
                <w:rFonts w:ascii="Calibri" w:cs="Calibri" w:eastAsia="Calibri" w:hAnsi="Calibri"/>
                <w:sz w:val="18"/>
                <w:szCs w:val="18"/>
              </w:rPr>
              <w:t xml:space="preserve">Demoting or stopping an agent</w:t>
            </w:r>
          </w:p>
        </w:tc>
      </w:tr>
      <w:tr>
        <w:trPr>
          <w:cantSplit/>
          <w:tblHeader w:val="false"/>
        </w:trPr>
        <w:tc>
          <w:tcPr>
            <w:tcW w:type="dxa" w:w="1472"/>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Finance</w:t>
            </w:r>
          </w:p>
        </w:tc>
        <w:tc>
          <w:tcPr>
            <w:tcW w:type="dxa" w:w="2297"/>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Finance partner</w:t>
            </w:r>
          </w:p>
        </w:tc>
        <w:tc>
          <w:tcPr>
            <w:tcW w:type="dxa" w:w="299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AI cost attribution and value tracking</w:t>
            </w:r>
          </w:p>
        </w:tc>
        <w:tc>
          <w:tcPr>
            <w:tcW w:type="dxa" w:w="2593"/>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How value is reported</w:t>
            </w:r>
          </w:p>
          <w:p>
            <w:pPr>
              <w:spacing w:after="0" w:before="0" w:line="252"/>
            </w:pPr>
            <w:r>
              <w:rPr>
                <w:rFonts w:ascii="Calibri" w:cs="Calibri" w:eastAsia="Calibri" w:hAnsi="Calibri"/>
                <w:sz w:val="18"/>
                <w:szCs w:val="18"/>
              </w:rPr>
              <w:t xml:space="preserve">AI budget thresholds</w:t>
            </w:r>
          </w:p>
        </w:tc>
      </w:tr>
      <w:tr>
        <w:trPr>
          <w:cantSplit/>
          <w:tblHeader w:val="false"/>
        </w:trPr>
        <w:tc>
          <w:tcPr>
            <w:tcW w:type="dxa" w:w="1472"/>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Skills and change</w:t>
            </w:r>
          </w:p>
        </w:tc>
        <w:tc>
          <w:tcPr>
            <w:tcW w:type="dxa" w:w="2297"/>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Talent and learning</w:t>
            </w:r>
          </w:p>
        </w:tc>
        <w:tc>
          <w:tcPr>
            <w:tcW w:type="dxa" w:w="2998"/>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Training for partners, reviewers, managers and sponsors</w:t>
            </w:r>
          </w:p>
        </w:tc>
        <w:tc>
          <w:tcPr>
            <w:tcW w:type="dxa" w:w="2593"/>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When each group is ready to go live</w:t>
            </w:r>
          </w:p>
        </w:tc>
      </w:tr>
    </w:tbl>
    <w:p>
      <w:pPr>
        <w:spacing w:after="120"/>
      </w:pPr>
    </w:p>
    <w:p>
      <w:pPr>
        <w:pStyle w:val="Heading3"/>
        <w:keepNext/>
      </w:pPr>
      <w:r>
        <w:rPr>
          <w:rFonts w:ascii="Calibri" w:cs="Calibri" w:eastAsia="Calibri" w:hAnsi="Calibri"/>
        </w:rPr>
        <w:t xml:space="preserve">RACI for the control plane</w:t>
      </w:r>
    </w:p>
    <w:tbl>
      <w:tblPr>
        <w:tblW w:type="dxa" w:w="9360"/>
        <w:tblBorders>
          <w:top w:val="single" w:color="CBD5E1" w:sz="4"/>
          <w:left w:val="single" w:color="CBD5E1" w:sz="4"/>
          <w:bottom w:val="single" w:color="CBD5E1" w:sz="4"/>
          <w:right w:val="single" w:color="CBD5E1" w:sz="4"/>
          <w:insideH w:val="single" w:color="CBD5E1" w:sz="4"/>
          <w:insideV w:val="single" w:color="CBD5E1" w:sz="4"/>
        </w:tblBorders>
        <w:tblLayout w:type="fixed"/>
      </w:tblPr>
      <w:tblGrid>
        <w:gridCol w:w="2682"/>
        <w:gridCol w:w="1472"/>
        <w:gridCol w:w="1680"/>
        <w:gridCol w:w="1651"/>
        <w:gridCol w:w="1875"/>
      </w:tblGrid>
      <w:tr>
        <w:trPr>
          <w:cantSplit/>
          <w:tblHeader/>
        </w:trPr>
        <w:tc>
          <w:tcPr>
            <w:tcW w:type="dxa" w:w="2682"/>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Activity</w:t>
            </w:r>
          </w:p>
        </w:tc>
        <w:tc>
          <w:tcPr>
            <w:tcW w:type="dxa" w:w="1472"/>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Accountable</w:t>
            </w:r>
          </w:p>
        </w:tc>
        <w:tc>
          <w:tcPr>
            <w:tcW w:type="dxa" w:w="1680"/>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Responsible</w:t>
            </w:r>
          </w:p>
        </w:tc>
        <w:tc>
          <w:tcPr>
            <w:tcW w:type="dxa" w:w="1651"/>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Consulted</w:t>
            </w:r>
          </w:p>
        </w:tc>
        <w:tc>
          <w:tcPr>
            <w:tcW w:type="dxa" w:w="1875"/>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Informed</w:t>
            </w:r>
          </w:p>
        </w:tc>
      </w:tr>
      <w:tr>
        <w:trPr>
          <w:cantSplit/>
          <w:tblHeader w:val="false"/>
        </w:trPr>
        <w:tc>
          <w:tcPr>
            <w:tcW w:type="dxa" w:w="2682"/>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Register a launch agent with its owner, sponsor, tier and system card</w:t>
            </w:r>
          </w:p>
        </w:tc>
        <w:tc>
          <w:tcPr>
            <w:tcW w:type="dxa" w:w="1472"/>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Agent sponsor</w:t>
            </w:r>
          </w:p>
        </w:tc>
        <w:tc>
          <w:tcPr>
            <w:tcW w:type="dxa" w:w="168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Platform team</w:t>
            </w:r>
          </w:p>
        </w:tc>
        <w:tc>
          <w:tcPr>
            <w:tcW w:type="dxa" w:w="1651"/>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CISO</w:t>
            </w:r>
          </w:p>
          <w:p>
            <w:pPr>
              <w:spacing w:after="0" w:before="0" w:line="252"/>
            </w:pPr>
            <w:r>
              <w:rPr>
                <w:rFonts w:ascii="Calibri" w:cs="Calibri" w:eastAsia="Calibri" w:hAnsi="Calibri"/>
                <w:sz w:val="18"/>
                <w:szCs w:val="18"/>
              </w:rPr>
              <w:t xml:space="preserve">Risk &amp; Quality</w:t>
            </w:r>
          </w:p>
        </w:tc>
        <w:tc>
          <w:tcPr>
            <w:tcW w:type="dxa" w:w="1875"/>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AI governance council</w:t>
            </w:r>
          </w:p>
        </w:tc>
      </w:tr>
      <w:tr>
        <w:trPr>
          <w:cantSplit/>
          <w:tblHeader w:val="false"/>
        </w:trPr>
        <w:tc>
          <w:tcPr>
            <w:tcW w:type="dxa" w:w="2682"/>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Promote the setup agent to tier 3</w:t>
            </w:r>
          </w:p>
        </w:tc>
        <w:tc>
          <w:tcPr>
            <w:tcW w:type="dxa" w:w="1472"/>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AI governance council</w:t>
            </w:r>
          </w:p>
        </w:tc>
        <w:tc>
          <w:tcPr>
            <w:tcW w:type="dxa" w:w="168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Finance partner (its sponsor)</w:t>
            </w:r>
          </w:p>
        </w:tc>
        <w:tc>
          <w:tcPr>
            <w:tcW w:type="dxa" w:w="1651"/>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CISO</w:t>
            </w:r>
          </w:p>
          <w:p>
            <w:pPr>
              <w:spacing w:after="80" w:before="0" w:line="252"/>
            </w:pPr>
            <w:r>
              <w:rPr>
                <w:rFonts w:ascii="Calibri" w:cs="Calibri" w:eastAsia="Calibri" w:hAnsi="Calibri"/>
                <w:sz w:val="18"/>
                <w:szCs w:val="18"/>
              </w:rPr>
              <w:t xml:space="preserve">Risk &amp; Quality</w:t>
            </w:r>
          </w:p>
          <w:p>
            <w:pPr>
              <w:spacing w:after="0" w:before="0" w:line="252"/>
            </w:pPr>
            <w:r>
              <w:rPr>
                <w:rFonts w:ascii="Calibri" w:cs="Calibri" w:eastAsia="Calibri" w:hAnsi="Calibri"/>
                <w:sz w:val="18"/>
                <w:szCs w:val="18"/>
              </w:rPr>
              <w:t xml:space="preserve">Head of practice operations</w:t>
            </w:r>
          </w:p>
        </w:tc>
        <w:tc>
          <w:tcPr>
            <w:tcW w:type="dxa" w:w="1875"/>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Managing partner, operations</w:t>
            </w:r>
          </w:p>
        </w:tc>
      </w:tr>
      <w:tr>
        <w:trPr>
          <w:cantSplit/>
          <w:tblHeader w:val="false"/>
        </w:trPr>
        <w:tc>
          <w:tcPr>
            <w:tcW w:type="dxa" w:w="2682"/>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Recertify or retire a launch agent</w:t>
            </w:r>
          </w:p>
        </w:tc>
        <w:tc>
          <w:tcPr>
            <w:tcW w:type="dxa" w:w="1472"/>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Agent sponsor</w:t>
            </w:r>
          </w:p>
        </w:tc>
        <w:tc>
          <w:tcPr>
            <w:tcW w:type="dxa" w:w="168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Platform team</w:t>
            </w:r>
          </w:p>
        </w:tc>
        <w:tc>
          <w:tcPr>
            <w:tcW w:type="dxa" w:w="1651"/>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Head of practice operations</w:t>
            </w:r>
          </w:p>
        </w:tc>
        <w:tc>
          <w:tcPr>
            <w:tcW w:type="dxa" w:w="1875"/>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AI governance council</w:t>
            </w:r>
          </w:p>
        </w:tc>
      </w:tr>
      <w:tr>
        <w:trPr>
          <w:cantSplit/>
          <w:tblHeader w:val="false"/>
        </w:trPr>
        <w:tc>
          <w:tcPr>
            <w:tcW w:type="dxa" w:w="2682"/>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Change a shared policy, or approve a new MCP server or model provider</w:t>
            </w:r>
          </w:p>
        </w:tc>
        <w:tc>
          <w:tcPr>
            <w:tcW w:type="dxa" w:w="1472"/>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AI governance council</w:t>
            </w:r>
          </w:p>
        </w:tc>
        <w:tc>
          <w:tcPr>
            <w:tcW w:type="dxa" w:w="168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Platform team</w:t>
            </w:r>
          </w:p>
        </w:tc>
        <w:tc>
          <w:tcPr>
            <w:tcW w:type="dxa" w:w="1651"/>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CISO</w:t>
            </w:r>
          </w:p>
          <w:p>
            <w:pPr>
              <w:spacing w:after="0" w:before="0" w:line="252"/>
            </w:pPr>
            <w:r>
              <w:rPr>
                <w:rFonts w:ascii="Calibri" w:cs="Calibri" w:eastAsia="Calibri" w:hAnsi="Calibri"/>
                <w:sz w:val="18"/>
                <w:szCs w:val="18"/>
              </w:rPr>
              <w:t xml:space="preserve">Chief architect</w:t>
            </w:r>
          </w:p>
        </w:tc>
        <w:tc>
          <w:tcPr>
            <w:tcW w:type="dxa" w:w="1875"/>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Agent sponsors</w:t>
            </w:r>
          </w:p>
        </w:tc>
      </w:tr>
      <w:tr>
        <w:trPr>
          <w:cantSplit/>
          <w:tblHeader w:val="false"/>
        </w:trPr>
        <w:tc>
          <w:tcPr>
            <w:tcW w:type="dxa" w:w="2682"/>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Stop an agent and run the takeover</w:t>
            </w:r>
          </w:p>
        </w:tc>
        <w:tc>
          <w:tcPr>
            <w:tcW w:type="dxa" w:w="1472"/>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CISO</w:t>
            </w:r>
          </w:p>
        </w:tc>
        <w:tc>
          <w:tcPr>
            <w:tcW w:type="dxa" w:w="1680"/>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Agent sponsor</w:t>
            </w:r>
          </w:p>
          <w:p>
            <w:pPr>
              <w:spacing w:after="0" w:before="0" w:line="252"/>
            </w:pPr>
            <w:r>
              <w:rPr>
                <w:rFonts w:ascii="Calibri" w:cs="Calibri" w:eastAsia="Calibri" w:hAnsi="Calibri"/>
                <w:sz w:val="18"/>
                <w:szCs w:val="18"/>
              </w:rPr>
              <w:t xml:space="preserve">Finance setup team or practice operations</w:t>
            </w:r>
          </w:p>
        </w:tc>
        <w:tc>
          <w:tcPr>
            <w:tcW w:type="dxa" w:w="1651"/>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Platform team</w:t>
            </w:r>
          </w:p>
        </w:tc>
        <w:tc>
          <w:tcPr>
            <w:tcW w:type="dxa" w:w="1875"/>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Head of practice operations</w:t>
            </w:r>
          </w:p>
          <w:p>
            <w:pPr>
              <w:spacing w:after="0" w:before="0" w:line="252"/>
            </w:pPr>
            <w:r>
              <w:rPr>
                <w:rFonts w:ascii="Calibri" w:cs="Calibri" w:eastAsia="Calibri" w:hAnsi="Calibri"/>
                <w:sz w:val="18"/>
                <w:szCs w:val="18"/>
              </w:rPr>
              <w:t xml:space="preserve">Managing partner, operations</w:t>
            </w:r>
          </w:p>
        </w:tc>
      </w:tr>
      <w:tr>
        <w:trPr>
          <w:cantSplit/>
          <w:tblHeader w:val="false"/>
        </w:trPr>
        <w:tc>
          <w:tcPr>
            <w:tcW w:type="dxa" w:w="2682"/>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Report value and AI cost per launch at each milestone</w:t>
            </w:r>
          </w:p>
        </w:tc>
        <w:tc>
          <w:tcPr>
            <w:tcW w:type="dxa" w:w="1472"/>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Head of practice operations</w:t>
            </w:r>
          </w:p>
        </w:tc>
        <w:tc>
          <w:tcPr>
            <w:tcW w:type="dxa" w:w="1680"/>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Finance partner</w:t>
            </w:r>
          </w:p>
        </w:tc>
        <w:tc>
          <w:tcPr>
            <w:tcW w:type="dxa" w:w="1651"/>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Platform team</w:t>
            </w:r>
          </w:p>
        </w:tc>
        <w:tc>
          <w:tcPr>
            <w:tcW w:type="dxa" w:w="1875"/>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Managing partner, operations</w:t>
            </w:r>
          </w:p>
        </w:tc>
      </w:tr>
    </w:tbl>
    <w:p>
      <w:pPr>
        <w:spacing w:after="120"/>
      </w:pPr>
    </w:p>
    <w:p>
      <w:pPr>
        <w:pStyle w:val="Heading3"/>
        <w:keepNext/>
      </w:pPr>
      <w:r>
        <w:rPr>
          <w:rFonts w:ascii="Calibri" w:cs="Calibri" w:eastAsia="Calibri" w:hAnsi="Calibri"/>
        </w:rPr>
        <w:t xml:space="preserve">Training plan</w:t>
      </w:r>
    </w:p>
    <w:tbl>
      <w:tblPr>
        <w:tblW w:type="dxa" w:w="9360"/>
        <w:tblBorders>
          <w:top w:val="single" w:color="CBD5E1" w:sz="4"/>
          <w:left w:val="single" w:color="CBD5E1" w:sz="4"/>
          <w:bottom w:val="single" w:color="CBD5E1" w:sz="4"/>
          <w:right w:val="single" w:color="CBD5E1" w:sz="4"/>
          <w:insideH w:val="single" w:color="CBD5E1" w:sz="4"/>
          <w:insideV w:val="single" w:color="CBD5E1" w:sz="4"/>
        </w:tblBorders>
        <w:tblLayout w:type="fixed"/>
      </w:tblPr>
      <w:tblGrid>
        <w:gridCol w:w="1715"/>
        <w:gridCol w:w="5132"/>
        <w:gridCol w:w="2513"/>
      </w:tblGrid>
      <w:tr>
        <w:trPr>
          <w:cantSplit/>
          <w:tblHeader/>
        </w:trPr>
        <w:tc>
          <w:tcPr>
            <w:tcW w:type="dxa" w:w="1715"/>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Audience</w:t>
            </w:r>
          </w:p>
        </w:tc>
        <w:tc>
          <w:tcPr>
            <w:tcW w:type="dxa" w:w="5132"/>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What they need to learn</w:t>
            </w:r>
          </w:p>
        </w:tc>
        <w:tc>
          <w:tcPr>
            <w:tcW w:type="dxa" w:w="2513"/>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When</w:t>
            </w:r>
          </w:p>
        </w:tc>
      </w:tr>
      <w:tr>
        <w:trPr>
          <w:cantSplit/>
          <w:tblHeader w:val="false"/>
        </w:trPr>
        <w:tc>
          <w:tcPr>
            <w:tcW w:type="dxa" w:w="1715"/>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Partners</w:t>
            </w:r>
          </w:p>
        </w:tc>
        <w:tc>
          <w:tcPr>
            <w:tcW w:type="dxa" w:w="5132"/>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Approving letters, budgets and SAP setups on mobile: what an approval binds, when it expires and how to stop a launch</w:t>
            </w:r>
          </w:p>
        </w:tc>
        <w:tc>
          <w:tcPr>
            <w:tcW w:type="dxa" w:w="2513"/>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Phase 1 for letters and budgets</w:t>
            </w:r>
          </w:p>
          <w:p>
            <w:pPr>
              <w:spacing w:after="0" w:before="0" w:line="252"/>
            </w:pPr>
            <w:r>
              <w:rPr>
                <w:rFonts w:ascii="Calibri" w:cs="Calibri" w:eastAsia="Calibri" w:hAnsi="Calibri"/>
                <w:sz w:val="18"/>
                <w:szCs w:val="18"/>
              </w:rPr>
              <w:t xml:space="preserve">Before tier 3 for setups</w:t>
            </w:r>
          </w:p>
        </w:tc>
      </w:tr>
      <w:tr>
        <w:trPr>
          <w:cantSplit/>
          <w:tblHeader w:val="false"/>
        </w:trPr>
        <w:tc>
          <w:tcPr>
            <w:tcW w:type="dxa" w:w="1715"/>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Risk &amp; Quality reviewers</w:t>
            </w:r>
          </w:p>
        </w:tc>
        <w:tc>
          <w:tcPr>
            <w:tcW w:type="dxa" w:w="5132"/>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Reading agent-assembled findings critically: evidence, lineage and the limits of the agent</w:t>
            </w:r>
          </w:p>
        </w:tc>
        <w:tc>
          <w:tcPr>
            <w:tcW w:type="dxa" w:w="2513"/>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Before phase 1 goes live</w:t>
            </w:r>
          </w:p>
        </w:tc>
      </w:tr>
      <w:tr>
        <w:trPr>
          <w:cantSplit/>
          <w:tblHeader w:val="false"/>
        </w:trPr>
        <w:tc>
          <w:tcPr>
            <w:tcW w:type="dxa" w:w="1715"/>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Engagement managers</w:t>
            </w:r>
          </w:p>
        </w:tc>
        <w:tc>
          <w:tcPr>
            <w:tcW w:type="dxa" w:w="5132"/>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Working with the launch copilot: editing drafts, confirming teams and taking over a launch</w:t>
            </w:r>
          </w:p>
        </w:tc>
        <w:tc>
          <w:tcPr>
            <w:tcW w:type="dxa" w:w="2513"/>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Before their service line goes live</w:t>
            </w:r>
          </w:p>
        </w:tc>
      </w:tr>
      <w:tr>
        <w:trPr>
          <w:cantSplit/>
          <w:tblHeader w:val="false"/>
        </w:trPr>
        <w:tc>
          <w:tcPr>
            <w:tcW w:type="dxa" w:w="1715"/>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Agent sponsors</w:t>
            </w:r>
          </w:p>
        </w:tc>
        <w:tc>
          <w:tcPr>
            <w:tcW w:type="dxa" w:w="5132"/>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The agent lifecycle, recertification and the takeover runbook</w:t>
            </w:r>
          </w:p>
        </w:tc>
        <w:tc>
          <w:tcPr>
            <w:tcW w:type="dxa" w:w="2513"/>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Before they register their agent</w:t>
            </w:r>
          </w:p>
        </w:tc>
      </w:tr>
      <w:tr>
        <w:trPr>
          <w:cantSplit/>
          <w:tblHeader w:val="false"/>
        </w:trPr>
        <w:tc>
          <w:tcPr>
            <w:tcW w:type="dxa" w:w="1715"/>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Platform team</w:t>
            </w:r>
          </w:p>
        </w:tc>
        <w:tc>
          <w:tcPr>
            <w:tcW w:type="dxa" w:w="5132"/>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Operating Agent Registry, AI Gateway, identity, evaluation and cost controls</w:t>
            </w:r>
          </w:p>
        </w:tc>
        <w:tc>
          <w:tcPr>
            <w:tcW w:type="dxa" w:w="2513"/>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Phase 1</w:t>
            </w:r>
          </w:p>
        </w:tc>
      </w:tr>
    </w:tbl>
    <w:p>
      <w:pPr>
        <w:spacing w:after="120"/>
      </w:pPr>
    </w:p>
    <w:p>
      <w:pPr>
        <w:pStyle w:val="Heading3"/>
        <w:keepNext/>
      </w:pPr>
      <w:r>
        <w:rPr>
          <w:rFonts w:ascii="Calibri" w:cs="Calibri" w:eastAsia="Calibri" w:hAnsi="Calibri"/>
        </w:rPr>
        <w:t xml:space="preserve">Adoption measures</w:t>
      </w:r>
    </w:p>
    <w:tbl>
      <w:tblPr>
        <w:tblW w:type="dxa" w:w="9360"/>
        <w:tblBorders>
          <w:top w:val="single" w:color="CBD5E1" w:sz="4"/>
          <w:left w:val="single" w:color="CBD5E1" w:sz="4"/>
          <w:bottom w:val="single" w:color="CBD5E1" w:sz="4"/>
          <w:right w:val="single" w:color="CBD5E1" w:sz="4"/>
          <w:insideH w:val="single" w:color="CBD5E1" w:sz="4"/>
          <w:insideV w:val="single" w:color="CBD5E1" w:sz="4"/>
        </w:tblBorders>
        <w:tblLayout w:type="fixed"/>
      </w:tblPr>
      <w:tblGrid>
        <w:gridCol w:w="1969"/>
        <w:gridCol w:w="4316"/>
        <w:gridCol w:w="3075"/>
      </w:tblGrid>
      <w:tr>
        <w:trPr>
          <w:cantSplit/>
          <w:tblHeader/>
        </w:trPr>
        <w:tc>
          <w:tcPr>
            <w:tcW w:type="dxa" w:w="1969"/>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Measure</w:t>
            </w:r>
          </w:p>
        </w:tc>
        <w:tc>
          <w:tcPr>
            <w:tcW w:type="dxa" w:w="4316"/>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Definition</w:t>
            </w:r>
          </w:p>
        </w:tc>
        <w:tc>
          <w:tcPr>
            <w:tcW w:type="dxa" w:w="3075"/>
            <w:shd w:fill="0F172A" w:color="auto" w:val="clear"/>
            <w:tcMar>
              <w:top w:type="dxa" w:w="60"/>
              <w:left w:type="dxa" w:w="100"/>
              <w:bottom w:type="dxa" w:w="60"/>
              <w:right w:type="dxa" w:w="100"/>
            </w:tcMar>
            <w:vAlign w:val="bottom"/>
          </w:tcPr>
          <w:p>
            <w:pPr>
              <w:spacing w:after="0" w:before="0" w:line="252"/>
            </w:pPr>
            <w:r>
              <w:rPr>
                <w:rFonts w:ascii="Calibri" w:cs="Calibri" w:eastAsia="Calibri" w:hAnsi="Calibri"/>
                <w:b/>
                <w:bCs/>
                <w:color w:val="FFFFFF"/>
                <w:sz w:val="18"/>
                <w:szCs w:val="18"/>
              </w:rPr>
              <w:t xml:space="preserve">Target</w:t>
            </w:r>
          </w:p>
        </w:tc>
      </w:tr>
      <w:tr>
        <w:trPr>
          <w:cantSplit/>
          <w:tblHeader w:val="false"/>
        </w:trPr>
        <w:tc>
          <w:tcPr>
            <w:tcW w:type="dxa" w:w="1969"/>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Acceptance rate</w:t>
            </w:r>
          </w:p>
        </w:tc>
        <w:tc>
          <w:tcPr>
            <w:tcW w:type="dxa" w:w="4316"/>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Letters and budgets accepted without significant edits</w:t>
            </w:r>
          </w:p>
        </w:tc>
        <w:tc>
          <w:tcPr>
            <w:tcW w:type="dxa" w:w="3075"/>
            <w:tcMar>
              <w:top w:type="dxa" w:w="60"/>
              <w:left w:type="dxa" w:w="100"/>
              <w:bottom w:type="dxa" w:w="60"/>
              <w:right w:type="dxa" w:w="100"/>
            </w:tcMar>
            <w:vAlign w:val="top"/>
          </w:tcPr>
          <w:p>
            <w:pPr>
              <w:spacing w:after="80" w:before="0" w:line="252"/>
            </w:pPr>
            <w:r>
              <w:rPr>
                <w:rFonts w:ascii="Calibri" w:cs="Calibri" w:eastAsia="Calibri" w:hAnsi="Calibri"/>
                <w:sz w:val="18"/>
                <w:szCs w:val="18"/>
              </w:rPr>
              <w:t xml:space="preserve">Tracked from month 8</w:t>
            </w:r>
          </w:p>
          <w:p>
            <w:pPr>
              <w:spacing w:after="0" w:before="0" w:line="252"/>
            </w:pPr>
            <w:r>
              <w:rPr>
                <w:rFonts w:ascii="Calibri" w:cs="Calibri" w:eastAsia="Calibri" w:hAnsi="Calibri"/>
                <w:sz w:val="18"/>
                <w:szCs w:val="18"/>
              </w:rPr>
              <w:t xml:space="preserve">Target agreed with Risk &amp; Quality</w:t>
            </w:r>
          </w:p>
        </w:tc>
      </w:tr>
      <w:tr>
        <w:trPr>
          <w:cantSplit/>
          <w:tblHeader w:val="false"/>
        </w:trPr>
        <w:tc>
          <w:tcPr>
            <w:tcW w:type="dxa" w:w="1969"/>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Takeover rate</w:t>
            </w:r>
          </w:p>
        </w:tc>
        <w:tc>
          <w:tcPr>
            <w:tcW w:type="dxa" w:w="4316"/>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Launch tasks a manager or reviewer had to take over</w:t>
            </w:r>
          </w:p>
        </w:tc>
        <w:tc>
          <w:tcPr>
            <w:tcW w:type="dxa" w:w="3075"/>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Falling quarter on quarter</w:t>
            </w:r>
          </w:p>
        </w:tc>
      </w:tr>
      <w:tr>
        <w:trPr>
          <w:cantSplit/>
          <w:tblHeader w:val="false"/>
        </w:trPr>
        <w:tc>
          <w:tcPr>
            <w:tcW w:type="dxa" w:w="1969"/>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Verification latency</w:t>
            </w:r>
          </w:p>
        </w:tc>
        <w:tc>
          <w:tcPr>
            <w:tcW w:type="dxa" w:w="4316"/>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Time from an assembled independence finding to the reviewer’s decision</w:t>
            </w:r>
          </w:p>
        </w:tc>
        <w:tc>
          <w:tcPr>
            <w:tcW w:type="dxa" w:w="3075"/>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Very short times reviewed, as they can mean approval without review</w:t>
            </w:r>
          </w:p>
        </w:tc>
      </w:tr>
      <w:tr>
        <w:trPr>
          <w:cantSplit/>
          <w:tblHeader w:val="false"/>
        </w:trPr>
        <w:tc>
          <w:tcPr>
            <w:tcW w:type="dxa" w:w="1969"/>
            <w:tcMar>
              <w:top w:type="dxa" w:w="60"/>
              <w:left w:type="dxa" w:w="100"/>
              <w:bottom w:type="dxa" w:w="60"/>
              <w:right w:type="dxa" w:w="100"/>
            </w:tcMar>
            <w:vAlign w:val="top"/>
          </w:tcPr>
          <w:p>
            <w:pPr>
              <w:spacing w:after="0" w:before="0" w:line="252"/>
            </w:pPr>
            <w:r>
              <w:rPr>
                <w:rFonts w:ascii="Calibri" w:cs="Calibri" w:eastAsia="Calibri" w:hAnsi="Calibri"/>
                <w:b/>
                <w:bCs/>
                <w:sz w:val="18"/>
                <w:szCs w:val="18"/>
              </w:rPr>
              <w:t xml:space="preserve">Trained before go-live</w:t>
            </w:r>
          </w:p>
        </w:tc>
        <w:tc>
          <w:tcPr>
            <w:tcW w:type="dxa" w:w="4316"/>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Partners, reviewers and managers trained before their service line goes live</w:t>
            </w:r>
          </w:p>
        </w:tc>
        <w:tc>
          <w:tcPr>
            <w:tcW w:type="dxa" w:w="3075"/>
            <w:tcMar>
              <w:top w:type="dxa" w:w="60"/>
              <w:left w:type="dxa" w:w="100"/>
              <w:bottom w:type="dxa" w:w="60"/>
              <w:right w:type="dxa" w:w="100"/>
            </w:tcMar>
            <w:vAlign w:val="top"/>
          </w:tcPr>
          <w:p>
            <w:pPr>
              <w:spacing w:after="0" w:before="0" w:line="252"/>
            </w:pPr>
            <w:r>
              <w:rPr>
                <w:rFonts w:ascii="Calibri" w:cs="Calibri" w:eastAsia="Calibri" w:hAnsi="Calibri"/>
                <w:sz w:val="18"/>
                <w:szCs w:val="18"/>
              </w:rPr>
              <w:t xml:space="preserve">100%</w:t>
            </w:r>
          </w:p>
        </w:tc>
      </w:tr>
    </w:tbl>
    <w:p>
      <w:pPr>
        <w:spacing w:after="120"/>
      </w:pPr>
    </w:p>
    <w:tbl>
      <w:tblPr>
        <w:tblW w:type="dxa" w:w="9360"/>
        <w:tblBorders>
          <w:top w:val="single" w:color="CBD5E1" w:sz="4"/>
          <w:left w:val="single" w:color="CBD5E1" w:sz="4"/>
          <w:bottom w:val="single" w:color="CBD5E1" w:sz="4"/>
          <w:right w:val="single" w:color="CBD5E1" w:sz="4"/>
          <w:insideH w:val="single" w:color="CBD5E1" w:sz="4"/>
          <w:insideV w:val="single" w:color="CBD5E1" w:sz="4"/>
        </w:tblBorders>
        <w:tblLayout w:type="fixed"/>
      </w:tblPr>
      <w:tblGrid>
        <w:gridCol w:w="9360"/>
      </w:tblGrid>
      <w:tr>
        <w:trPr>
          <w:cantSplit/>
        </w:trPr>
        <w:tc>
          <w:tcPr>
            <w:tcW w:type="dxa" w:w="9360"/>
            <w:shd w:fill="F1F5F9" w:color="auto" w:val="clear"/>
            <w:tcMar>
              <w:top w:type="dxa" w:w="140"/>
              <w:left w:type="dxa" w:w="200"/>
              <w:bottom w:type="dxa" w:w="140"/>
              <w:right w:type="dxa" w:w="200"/>
            </w:tcMar>
          </w:tcPr>
          <w:p>
            <w:pPr>
              <w:spacing w:after="100"/>
            </w:pPr>
            <w:r>
              <w:rPr>
                <w:rFonts w:ascii="Calibri" w:cs="Calibri" w:eastAsia="Calibri" w:hAnsi="Calibri"/>
                <w:b/>
                <w:bCs/>
                <w:color w:val="1E293B"/>
                <w:sz w:val="22"/>
                <w:szCs w:val="22"/>
              </w:rPr>
              <w:t xml:space="preserve">Why it is filled this way</w:t>
            </w:r>
          </w:p>
          <w:p>
            <w:pPr>
              <w:spacing w:after="80"/>
            </w:pPr>
            <w:r>
              <w:rPr>
                <w:rFonts w:ascii="Calibri" w:cs="Calibri" w:eastAsia="Calibri" w:hAnsi="Calibri"/>
                <w:sz w:val="20"/>
                <w:szCs w:val="20"/>
              </w:rPr>
              <w:t xml:space="preserve">Every agent has a named sponsor, and the council’s first no-go zone is written down: no agent decides independence.</w:t>
            </w:r>
          </w:p>
          <w:p>
            <w:pPr>
              <w:spacing w:after="80"/>
            </w:pPr>
            <w:r>
              <w:rPr>
                <w:rFonts w:ascii="Calibri" w:cs="Calibri" w:eastAsia="Calibri" w:hAnsi="Calibri"/>
                <w:sz w:val="20"/>
                <w:szCs w:val="20"/>
              </w:rPr>
              <w:t xml:space="preserve">The RACI makes the one step that raises autonomy explicit: promoting the setup agent to tier 3 needs the council, with the CISO and Risk &amp; Quality consulted.</w:t>
            </w:r>
          </w:p>
          <w:p>
            <w:pPr>
              <w:spacing w:after="80"/>
            </w:pPr>
            <w:r>
              <w:rPr>
                <w:rFonts w:ascii="Calibri" w:cs="Calibri" w:eastAsia="Calibri" w:hAnsi="Calibri"/>
                <w:sz w:val="20"/>
                <w:szCs w:val="20"/>
              </w:rPr>
              <w:t xml:space="preserve">Adoption is measured by acceptance and takeovers, not logins, and partners are trained before they approve their first SAP setup on mobile.</w:t>
            </w:r>
          </w:p>
        </w:tc>
      </w:tr>
    </w:tbl>
    <w:p>
      <w:pPr>
        <w:spacing w:after="120"/>
      </w:pPr>
    </w:p>
    <w:p>
      <w:pPr>
        <w:pStyle w:val="Heading1"/>
        <w:keepNext/>
        <w:pageBreakBefore/>
      </w:pPr>
      <w:bookmarkStart w:name="sources" w:id="30"/>
      <w:r>
        <w:rPr>
          <w:rFonts w:ascii="Calibri" w:cs="Calibri" w:eastAsia="Calibri" w:hAnsi="Calibri"/>
        </w:rPr>
        <w:t xml:space="preserve">Sources</w:t>
      </w:r>
      <w:bookmarkEnd w:id="30"/>
    </w:p>
    <w:p>
      <w:pPr>
        <w:spacing w:after="140"/>
      </w:pPr>
      <w:r>
        <w:rPr>
          <w:rFonts w:ascii="Calibri" w:cs="Calibri" w:eastAsia="Calibri" w:hAnsi="Calibri"/>
        </w:rPr>
        <w:t xml:space="preserve">The sources cited in this document, with the numbers of the shared endnote list in </w:t>
      </w:r>
      <w:r>
        <w:rPr>
          <w:rFonts w:ascii="Calibri" w:cs="Calibri" w:eastAsia="Calibri" w:hAnsi="Calibri"/>
          <w:i/>
          <w:iCs/>
        </w:rPr>
        <w:t xml:space="preserve">The AI Control Plane Handbook</w:t>
      </w:r>
      <w:r>
        <w:rPr>
          <w:rFonts w:ascii="Calibri" w:cs="Calibri" w:eastAsia="Calibri" w:hAnsi="Calibri"/>
        </w:rPr>
        <w:t xml:space="preserve"> (Appendix B): </w:t>
      </w:r>
      <w:hyperlink w:history="1" r:id="rIdquvbg2p0087k4qfoafqmx">
        <w:r>
          <w:rPr>
            <w:rFonts w:ascii="Calibri" w:cs="Calibri" w:eastAsia="Calibri" w:hAnsi="Calibri"/>
            <w:color w:val="0369A1"/>
            <w:u w:val="single"/>
          </w:rPr>
          <w:t xml:space="preserve">https://johnfisher-ai.github.io/ai-control-plane-handbook/handbook/appendix-b.html</w:t>
        </w:r>
      </w:hyperlink>
      <w:r>
        <w:rPr>
          <w:rFonts w:ascii="Calibri" w:cs="Calibri" w:eastAsia="Calibri" w:hAnsi="Calibri"/>
        </w:rPr>
        <w:t xml:space="preserve">. Vendor-authored sources are cited for product facts, not as independent validation.</w:t>
      </w:r>
    </w:p>
    <w:p>
      <w:pPr>
        <w:tabs>
          <w:tab w:val="left" w:pos="480"/>
        </w:tabs>
        <w:spacing w:after="100"/>
        <w:ind w:left="480" w:hanging="480"/>
      </w:pPr>
      <w:bookmarkStart w:name="en_12" w:id="31"/>
      <w:r>
        <w:rPr>
          <w:rFonts w:ascii="Calibri" w:cs="Calibri" w:eastAsia="Calibri" w:hAnsi="Calibri"/>
          <w:b/>
          <w:bCs/>
          <w:sz w:val="19"/>
          <w:szCs w:val="19"/>
        </w:rPr>
        <w:t xml:space="preserve">12.	</w:t>
      </w:r>
      <w:bookmarkEnd w:id="31"/>
      <w:r>
        <w:rPr>
          <w:rFonts w:ascii="Calibri" w:cs="Calibri" w:eastAsia="Calibri" w:hAnsi="Calibri"/>
          <w:sz w:val="19"/>
          <w:szCs w:val="19"/>
        </w:rPr>
        <w:t xml:space="preserve">Microsoft, “Introducing the First Frontier Suite built on Intelligence + Trust,” Official Microsoft Blog, March 9, 2026; see also Microsoft, “What’s new in Microsoft Entra Agent ID,” Microsoft Learn, updated May 1, 2026, and Microsoft, “Microsoft Agent Framework overview,” Microsoft Learn, updated August 25, 2026. </w:t>
      </w:r>
      <w:hyperlink w:history="1" r:id="rIdvf1thaz9oucx3nhy8rkro">
        <w:r>
          <w:rPr>
            <w:rFonts w:ascii="Calibri" w:cs="Calibri" w:eastAsia="Calibri" w:hAnsi="Calibri"/>
            <w:color w:val="0369A1"/>
            <w:sz w:val="19"/>
            <w:szCs w:val="19"/>
            <w:u w:val="single"/>
          </w:rPr>
          <w:t xml:space="preserve">https://blogs.microsoft.com/blog/2026/03/09/introducing-the-first-frontier-suite-built-on-intelligence-trust/</w:t>
        </w:r>
      </w:hyperlink>
      <w:r>
        <w:rPr>
          <w:rFonts w:ascii="Calibri" w:cs="Calibri" w:eastAsia="Calibri" w:hAnsi="Calibri"/>
          <w:sz w:val="19"/>
          <w:szCs w:val="19"/>
        </w:rPr>
        <w:t xml:space="preserve"> </w:t>
      </w:r>
      <w:hyperlink w:history="1" r:id="rIdmjw2h1saezfjlxrksrtrl">
        <w:r>
          <w:rPr>
            <w:rFonts w:ascii="Calibri" w:cs="Calibri" w:eastAsia="Calibri" w:hAnsi="Calibri"/>
            <w:color w:val="0369A1"/>
            <w:sz w:val="19"/>
            <w:szCs w:val="19"/>
            <w:u w:val="single"/>
          </w:rPr>
          <w:t xml:space="preserve">https://learn.microsoft.com/en-us/entra/agent-id/whats-new-agent-id</w:t>
        </w:r>
      </w:hyperlink>
      <w:r>
        <w:rPr>
          <w:rFonts w:ascii="Calibri" w:cs="Calibri" w:eastAsia="Calibri" w:hAnsi="Calibri"/>
          <w:sz w:val="19"/>
          <w:szCs w:val="19"/>
        </w:rPr>
        <w:t xml:space="preserve"> </w:t>
      </w:r>
      <w:hyperlink w:history="1" r:id="rId7aey6rucmzotkryp_gibp">
        <w:r>
          <w:rPr>
            <w:rFonts w:ascii="Calibri" w:cs="Calibri" w:eastAsia="Calibri" w:hAnsi="Calibri"/>
            <w:color w:val="0369A1"/>
            <w:sz w:val="19"/>
            <w:szCs w:val="19"/>
            <w:u w:val="single"/>
          </w:rPr>
          <w:t xml:space="preserve">https://learn.microsoft.com/en-us/agent-framework/overview/</w:t>
        </w:r>
      </w:hyperlink>
    </w:p>
    <w:p>
      <w:pPr>
        <w:tabs>
          <w:tab w:val="left" w:pos="480"/>
        </w:tabs>
        <w:spacing w:after="100"/>
        <w:ind w:left="480" w:hanging="480"/>
      </w:pPr>
      <w:bookmarkStart w:name="en_21" w:id="32"/>
      <w:r>
        <w:rPr>
          <w:rFonts w:ascii="Calibri" w:cs="Calibri" w:eastAsia="Calibri" w:hAnsi="Calibri"/>
          <w:b/>
          <w:bCs/>
          <w:sz w:val="19"/>
          <w:szCs w:val="19"/>
        </w:rPr>
        <w:t xml:space="preserve">21.	</w:t>
      </w:r>
      <w:bookmarkEnd w:id="32"/>
      <w:r>
        <w:rPr>
          <w:rFonts w:ascii="Calibri" w:cs="Calibri" w:eastAsia="Calibri" w:hAnsi="Calibri"/>
          <w:sz w:val="19"/>
          <w:szCs w:val="19"/>
        </w:rPr>
        <w:t xml:space="preserve">MuleSoft, “Agent Fabric,” product page, accessed October 2026; see also the MuleSoft documentation pages “Agent Fabric release notes,” “Agent Scanners,” “Adding an MCP Bridge Instance,” “Creating and Managing Model Proxies” and “Detect and Contain Rogue Agents,” and MuleSoft, “AI Cost Management,” accessed October 2026. </w:t>
      </w:r>
      <w:hyperlink w:history="1" r:id="rIdpt9j6lw9nfrkaahqkdoaw">
        <w:r>
          <w:rPr>
            <w:rFonts w:ascii="Calibri" w:cs="Calibri" w:eastAsia="Calibri" w:hAnsi="Calibri"/>
            <w:color w:val="0369A1"/>
            <w:sz w:val="19"/>
            <w:szCs w:val="19"/>
            <w:u w:val="single"/>
          </w:rPr>
          <w:t xml:space="preserve">https://www.mulesoft.com/ai/agent-fabric</w:t>
        </w:r>
      </w:hyperlink>
      <w:r>
        <w:rPr>
          <w:rFonts w:ascii="Calibri" w:cs="Calibri" w:eastAsia="Calibri" w:hAnsi="Calibri"/>
          <w:sz w:val="19"/>
          <w:szCs w:val="19"/>
        </w:rPr>
        <w:t xml:space="preserve"> </w:t>
      </w:r>
      <w:hyperlink w:history="1" r:id="rIdxcfk4x8nirnlbmone4pa5">
        <w:r>
          <w:rPr>
            <w:rFonts w:ascii="Calibri" w:cs="Calibri" w:eastAsia="Calibri" w:hAnsi="Calibri"/>
            <w:color w:val="0369A1"/>
            <w:sz w:val="19"/>
            <w:szCs w:val="19"/>
            <w:u w:val="single"/>
          </w:rPr>
          <w:t xml:space="preserve">https://docs.mulesoft.com/general/agent-fabric-release-notes</w:t>
        </w:r>
      </w:hyperlink>
      <w:r>
        <w:rPr>
          <w:rFonts w:ascii="Calibri" w:cs="Calibri" w:eastAsia="Calibri" w:hAnsi="Calibri"/>
          <w:sz w:val="19"/>
          <w:szCs w:val="19"/>
        </w:rPr>
        <w:t xml:space="preserve"> </w:t>
      </w:r>
      <w:hyperlink w:history="1" r:id="rIdh8wk_qmkerzoroyzkh4st">
        <w:r>
          <w:rPr>
            <w:rFonts w:ascii="Calibri" w:cs="Calibri" w:eastAsia="Calibri" w:hAnsi="Calibri"/>
            <w:color w:val="0369A1"/>
            <w:sz w:val="19"/>
            <w:szCs w:val="19"/>
            <w:u w:val="single"/>
          </w:rPr>
          <w:t xml:space="preserve">https://docs.mulesoft.com/exchange/agent-scanners</w:t>
        </w:r>
      </w:hyperlink>
      <w:r>
        <w:rPr>
          <w:rFonts w:ascii="Calibri" w:cs="Calibri" w:eastAsia="Calibri" w:hAnsi="Calibri"/>
          <w:sz w:val="19"/>
          <w:szCs w:val="19"/>
        </w:rPr>
        <w:t xml:space="preserve"> </w:t>
      </w:r>
      <w:hyperlink w:history="1" r:id="rIdtqg-n4obprgor0nevmn6d">
        <w:r>
          <w:rPr>
            <w:rFonts w:ascii="Calibri" w:cs="Calibri" w:eastAsia="Calibri" w:hAnsi="Calibri"/>
            <w:color w:val="0369A1"/>
            <w:sz w:val="19"/>
            <w:szCs w:val="19"/>
            <w:u w:val="single"/>
          </w:rPr>
          <w:t xml:space="preserve">https://docs.mulesoft.com/api-manager/latest/create-instance-task-mcp-bridge</w:t>
        </w:r>
      </w:hyperlink>
      <w:r>
        <w:rPr>
          <w:rFonts w:ascii="Calibri" w:cs="Calibri" w:eastAsia="Calibri" w:hAnsi="Calibri"/>
          <w:sz w:val="19"/>
          <w:szCs w:val="19"/>
        </w:rPr>
        <w:t xml:space="preserve"> </w:t>
      </w:r>
      <w:hyperlink w:history="1" r:id="rIdz-urctiboiva3zbpcyf9w">
        <w:r>
          <w:rPr>
            <w:rFonts w:ascii="Calibri" w:cs="Calibri" w:eastAsia="Calibri" w:hAnsi="Calibri"/>
            <w:color w:val="0369A1"/>
            <w:sz w:val="19"/>
            <w:szCs w:val="19"/>
            <w:u w:val="single"/>
          </w:rPr>
          <w:t xml:space="preserve">https://docs.mulesoft.com/general/model-proxy</w:t>
        </w:r>
      </w:hyperlink>
      <w:r>
        <w:rPr>
          <w:rFonts w:ascii="Calibri" w:cs="Calibri" w:eastAsia="Calibri" w:hAnsi="Calibri"/>
          <w:sz w:val="19"/>
          <w:szCs w:val="19"/>
        </w:rPr>
        <w:t xml:space="preserve"> </w:t>
      </w:r>
      <w:hyperlink w:history="1" r:id="rId5tycis-wowz2qrst4z-3e">
        <w:r>
          <w:rPr>
            <w:rFonts w:ascii="Calibri" w:cs="Calibri" w:eastAsia="Calibri" w:hAnsi="Calibri"/>
            <w:color w:val="0369A1"/>
            <w:sz w:val="19"/>
            <w:szCs w:val="19"/>
            <w:u w:val="single"/>
          </w:rPr>
          <w:t xml:space="preserve">https://docs.mulesoft.com/general/exp-detect-and-contain-rogue-agents</w:t>
        </w:r>
      </w:hyperlink>
      <w:r>
        <w:rPr>
          <w:rFonts w:ascii="Calibri" w:cs="Calibri" w:eastAsia="Calibri" w:hAnsi="Calibri"/>
          <w:sz w:val="19"/>
          <w:szCs w:val="19"/>
        </w:rPr>
        <w:t xml:space="preserve"> </w:t>
      </w:r>
      <w:hyperlink w:history="1" r:id="rId-rpadwyimjkfncvoxcpi5">
        <w:r>
          <w:rPr>
            <w:rFonts w:ascii="Calibri" w:cs="Calibri" w:eastAsia="Calibri" w:hAnsi="Calibri"/>
            <w:color w:val="0369A1"/>
            <w:sz w:val="19"/>
            <w:szCs w:val="19"/>
            <w:u w:val="single"/>
          </w:rPr>
          <w:t xml:space="preserve">https://www.mulesoft.com/ai/agent-fabric/cost-management</w:t>
        </w:r>
      </w:hyperlink>
    </w:p>
    <w:p>
      <w:pPr>
        <w:tabs>
          <w:tab w:val="left" w:pos="480"/>
        </w:tabs>
        <w:spacing w:after="100"/>
        <w:ind w:left="480" w:hanging="480"/>
      </w:pPr>
      <w:bookmarkStart w:name="en_26" w:id="33"/>
      <w:r>
        <w:rPr>
          <w:rFonts w:ascii="Calibri" w:cs="Calibri" w:eastAsia="Calibri" w:hAnsi="Calibri"/>
          <w:b/>
          <w:bCs/>
          <w:sz w:val="19"/>
          <w:szCs w:val="19"/>
        </w:rPr>
        <w:t xml:space="preserve">26.	</w:t>
      </w:r>
      <w:bookmarkEnd w:id="33"/>
      <w:r>
        <w:rPr>
          <w:rFonts w:ascii="Calibri" w:cs="Calibri" w:eastAsia="Calibri" w:hAnsi="Calibri"/>
          <w:sz w:val="19"/>
          <w:szCs w:val="19"/>
        </w:rPr>
        <w:t xml:space="preserve">Model Context Protocol, specification (revision 2026-07-28), including “Authorization” for MCP servers and “Key changes” for that revision, Agentic AI Foundation (Linux Foundation). </w:t>
      </w:r>
      <w:hyperlink w:history="1" r:id="rIdhgqm55m8mryy-8ldffv0r">
        <w:r>
          <w:rPr>
            <w:rFonts w:ascii="Calibri" w:cs="Calibri" w:eastAsia="Calibri" w:hAnsi="Calibri"/>
            <w:color w:val="0369A1"/>
            <w:sz w:val="19"/>
            <w:szCs w:val="19"/>
            <w:u w:val="single"/>
          </w:rPr>
          <w:t xml:space="preserve">https://modelcontextprotocol.io/specification</w:t>
        </w:r>
      </w:hyperlink>
      <w:r>
        <w:rPr>
          <w:rFonts w:ascii="Calibri" w:cs="Calibri" w:eastAsia="Calibri" w:hAnsi="Calibri"/>
          <w:sz w:val="19"/>
          <w:szCs w:val="19"/>
        </w:rPr>
        <w:t xml:space="preserve"> </w:t>
      </w:r>
      <w:hyperlink w:history="1" r:id="rId2doc1nnj5zart_ckwm0p8">
        <w:r>
          <w:rPr>
            <w:rFonts w:ascii="Calibri" w:cs="Calibri" w:eastAsia="Calibri" w:hAnsi="Calibri"/>
            <w:color w:val="0369A1"/>
            <w:sz w:val="19"/>
            <w:szCs w:val="19"/>
            <w:u w:val="single"/>
          </w:rPr>
          <w:t xml:space="preserve">https://modelcontextprotocol.io/specification/2026-07-28/changelog</w:t>
        </w:r>
      </w:hyperlink>
    </w:p>
    <w:p>
      <w:pPr>
        <w:tabs>
          <w:tab w:val="left" w:pos="480"/>
        </w:tabs>
        <w:spacing w:after="100"/>
        <w:ind w:left="480" w:hanging="480"/>
      </w:pPr>
      <w:bookmarkStart w:name="en_27" w:id="34"/>
      <w:r>
        <w:rPr>
          <w:rFonts w:ascii="Calibri" w:cs="Calibri" w:eastAsia="Calibri" w:hAnsi="Calibri"/>
          <w:b/>
          <w:bCs/>
          <w:sz w:val="19"/>
          <w:szCs w:val="19"/>
        </w:rPr>
        <w:t xml:space="preserve">27.	</w:t>
      </w:r>
      <w:bookmarkEnd w:id="34"/>
      <w:r>
        <w:rPr>
          <w:rFonts w:ascii="Calibri" w:cs="Calibri" w:eastAsia="Calibri" w:hAnsi="Calibri"/>
          <w:sz w:val="19"/>
          <w:szCs w:val="19"/>
        </w:rPr>
        <w:t xml:space="preserve">Agent2Agent (A2A) Protocol, specification and project repository, Agentic AI Foundation (Linux Foundation); version 1.0, March 2026; see also Agentic AI Foundation, “A2A joins AAIF’s open agentic stack,” August 17, 2026. </w:t>
      </w:r>
      <w:hyperlink w:history="1" r:id="rIdw8l3iwalsxfnpncqzomvh">
        <w:r>
          <w:rPr>
            <w:rFonts w:ascii="Calibri" w:cs="Calibri" w:eastAsia="Calibri" w:hAnsi="Calibri"/>
            <w:color w:val="0369A1"/>
            <w:sz w:val="19"/>
            <w:szCs w:val="19"/>
            <w:u w:val="single"/>
          </w:rPr>
          <w:t xml:space="preserve">https://github.com/a2aproject/A2A</w:t>
        </w:r>
      </w:hyperlink>
      <w:r>
        <w:rPr>
          <w:rFonts w:ascii="Calibri" w:cs="Calibri" w:eastAsia="Calibri" w:hAnsi="Calibri"/>
          <w:sz w:val="19"/>
          <w:szCs w:val="19"/>
        </w:rPr>
        <w:t xml:space="preserve"> </w:t>
      </w:r>
      <w:hyperlink w:history="1" r:id="rId9na3_-axengkjrk2jm8zw">
        <w:r>
          <w:rPr>
            <w:rFonts w:ascii="Calibri" w:cs="Calibri" w:eastAsia="Calibri" w:hAnsi="Calibri"/>
            <w:color w:val="0369A1"/>
            <w:sz w:val="19"/>
            <w:szCs w:val="19"/>
            <w:u w:val="single"/>
          </w:rPr>
          <w:t xml:space="preserve">https://aaif.io/blog/a2a-joins-aaif</w:t>
        </w:r>
      </w:hyperlink>
    </w:p>
    <w:p>
      <w:pPr>
        <w:tabs>
          <w:tab w:val="left" w:pos="480"/>
        </w:tabs>
        <w:spacing w:after="100"/>
        <w:ind w:left="480" w:hanging="480"/>
      </w:pPr>
      <w:bookmarkStart w:name="en_46" w:id="35"/>
      <w:r>
        <w:rPr>
          <w:rFonts w:ascii="Calibri" w:cs="Calibri" w:eastAsia="Calibri" w:hAnsi="Calibri"/>
          <w:b/>
          <w:bCs/>
          <w:sz w:val="19"/>
          <w:szCs w:val="19"/>
        </w:rPr>
        <w:t xml:space="preserve">46.	</w:t>
      </w:r>
      <w:bookmarkEnd w:id="35"/>
      <w:r>
        <w:rPr>
          <w:rFonts w:ascii="Calibri" w:cs="Calibri" w:eastAsia="Calibri" w:hAnsi="Calibri"/>
          <w:sz w:val="19"/>
          <w:szCs w:val="19"/>
        </w:rPr>
        <w:t xml:space="preserve">Pieter Kasselman, Jeff Lombardo, Yaroslav Rosomakho, Brian Campbell, Nick Steele, and Aaron Parecki, “AI Identity Management System,” IETF Internet-Draft draft-ietf-wimse-aims-00, September 15, 2026 (work in progress). </w:t>
      </w:r>
      <w:hyperlink w:history="1" r:id="rIdz2rekrovygcq_z69ra5r4">
        <w:r>
          <w:rPr>
            <w:rFonts w:ascii="Calibri" w:cs="Calibri" w:eastAsia="Calibri" w:hAnsi="Calibri"/>
            <w:color w:val="0369A1"/>
            <w:sz w:val="19"/>
            <w:szCs w:val="19"/>
            <w:u w:val="single"/>
          </w:rPr>
          <w:t xml:space="preserve">https://datatracker.ietf.org/doc/draft-ietf-wimse-aims/</w:t>
        </w:r>
      </w:hyperlink>
    </w:p>
    <w:p>
      <w:pPr>
        <w:tabs>
          <w:tab w:val="left" w:pos="480"/>
        </w:tabs>
        <w:spacing w:after="100"/>
        <w:ind w:left="480" w:hanging="480"/>
      </w:pPr>
      <w:bookmarkStart w:name="en_47" w:id="36"/>
      <w:r>
        <w:rPr>
          <w:rFonts w:ascii="Calibri" w:cs="Calibri" w:eastAsia="Calibri" w:hAnsi="Calibri"/>
          <w:b/>
          <w:bCs/>
          <w:sz w:val="19"/>
          <w:szCs w:val="19"/>
        </w:rPr>
        <w:t xml:space="preserve">47.	</w:t>
      </w:r>
      <w:bookmarkEnd w:id="36"/>
      <w:r>
        <w:rPr>
          <w:rFonts w:ascii="Calibri" w:cs="Calibri" w:eastAsia="Calibri" w:hAnsi="Calibri"/>
          <w:sz w:val="19"/>
          <w:szCs w:val="19"/>
        </w:rPr>
        <w:t xml:space="preserve">Kanchana Patlolla and Greg Brosman, “20 questions for the agentic enterprise (and how Agent Platform can help),” Google Cloud Blog, July 7, 2026. </w:t>
      </w:r>
      <w:hyperlink w:history="1" r:id="rIdm3ch3nvtijnog5uzwcn-g">
        <w:r>
          <w:rPr>
            <w:rFonts w:ascii="Calibri" w:cs="Calibri" w:eastAsia="Calibri" w:hAnsi="Calibri"/>
            <w:color w:val="0369A1"/>
            <w:sz w:val="19"/>
            <w:szCs w:val="19"/>
            <w:u w:val="single"/>
          </w:rPr>
          <w:t xml:space="preserve">https://cloud.google.com/blog/products/ai-machine-learning/20-questions-for-the-agentic-enterprise</w:t>
        </w:r>
      </w:hyperlink>
    </w:p>
    <w:p>
      <w:pPr>
        <w:tabs>
          <w:tab w:val="left" w:pos="480"/>
        </w:tabs>
        <w:spacing w:after="100"/>
        <w:ind w:left="480" w:hanging="480"/>
      </w:pPr>
      <w:bookmarkStart w:name="en_60" w:id="37"/>
      <w:r>
        <w:rPr>
          <w:rFonts w:ascii="Calibri" w:cs="Calibri" w:eastAsia="Calibri" w:hAnsi="Calibri"/>
          <w:b/>
          <w:bCs/>
          <w:sz w:val="19"/>
          <w:szCs w:val="19"/>
        </w:rPr>
        <w:t xml:space="preserve">60.	</w:t>
      </w:r>
      <w:bookmarkEnd w:id="37"/>
      <w:r>
        <w:rPr>
          <w:rFonts w:ascii="Calibri" w:cs="Calibri" w:eastAsia="Calibri" w:hAnsi="Calibri"/>
          <w:sz w:val="19"/>
          <w:szCs w:val="19"/>
        </w:rPr>
        <w:t xml:space="preserve">Benazir Fateh and Amy Liu, “The KPIs that actually matter for production AI agents,” Google Cloud, February 26, 2026. </w:t>
      </w:r>
      <w:hyperlink w:history="1" r:id="rIdbb1tl-rs8m13prhyegceh">
        <w:r>
          <w:rPr>
            <w:rFonts w:ascii="Calibri" w:cs="Calibri" w:eastAsia="Calibri" w:hAnsi="Calibri"/>
            <w:color w:val="0369A1"/>
            <w:sz w:val="19"/>
            <w:szCs w:val="19"/>
            <w:u w:val="single"/>
          </w:rPr>
          <w:t xml:space="preserve">https://cloud.google.com/transform/the-kpis-that-actually-matter-for-production-ai-agents</w:t>
        </w:r>
      </w:hyperlink>
    </w:p>
    <w:p>
      <w:pPr>
        <w:tabs>
          <w:tab w:val="left" w:pos="480"/>
        </w:tabs>
        <w:spacing w:after="100"/>
        <w:ind w:left="480" w:hanging="480"/>
      </w:pPr>
      <w:bookmarkStart w:name="en_62" w:id="38"/>
      <w:r>
        <w:rPr>
          <w:rFonts w:ascii="Calibri" w:cs="Calibri" w:eastAsia="Calibri" w:hAnsi="Calibri"/>
          <w:b/>
          <w:bCs/>
          <w:sz w:val="19"/>
          <w:szCs w:val="19"/>
        </w:rPr>
        <w:t xml:space="preserve">62.	</w:t>
      </w:r>
      <w:bookmarkEnd w:id="38"/>
      <w:r>
        <w:rPr>
          <w:rFonts w:ascii="Calibri" w:cs="Calibri" w:eastAsia="Calibri" w:hAnsi="Calibri"/>
          <w:sz w:val="19"/>
          <w:szCs w:val="19"/>
        </w:rPr>
        <w:t xml:space="preserve">Amazon Web Services, “What is Amazon Bedrock AgentCore?” and “Evaluate agent performance with Amazon Bedrock AgentCore Evaluations,” Amazon Bedrock AgentCore Developer Guide, accessed October 2026. </w:t>
      </w:r>
      <w:hyperlink w:history="1" r:id="rIdyjkdru8otabuoxakngyy3">
        <w:r>
          <w:rPr>
            <w:rFonts w:ascii="Calibri" w:cs="Calibri" w:eastAsia="Calibri" w:hAnsi="Calibri"/>
            <w:color w:val="0369A1"/>
            <w:sz w:val="19"/>
            <w:szCs w:val="19"/>
            <w:u w:val="single"/>
          </w:rPr>
          <w:t xml:space="preserve">https://docs.aws.amazon.com/bedrock-agentcore/latest/devguide/what-is-bedrock-agentcore.html</w:t>
        </w:r>
      </w:hyperlink>
      <w:r>
        <w:rPr>
          <w:rFonts w:ascii="Calibri" w:cs="Calibri" w:eastAsia="Calibri" w:hAnsi="Calibri"/>
          <w:sz w:val="19"/>
          <w:szCs w:val="19"/>
        </w:rPr>
        <w:t xml:space="preserve"> </w:t>
      </w:r>
      <w:hyperlink w:history="1" r:id="rId7qvzktyrezi0obfu1sib_">
        <w:r>
          <w:rPr>
            <w:rFonts w:ascii="Calibri" w:cs="Calibri" w:eastAsia="Calibri" w:hAnsi="Calibri"/>
            <w:color w:val="0369A1"/>
            <w:sz w:val="19"/>
            <w:szCs w:val="19"/>
            <w:u w:val="single"/>
          </w:rPr>
          <w:t xml:space="preserve">https://docs.aws.amazon.com/bedrock-agentcore/latest/devguide/evaluations.html</w:t>
        </w:r>
      </w:hyperlink>
    </w:p>
    <w:p>
      <w:pPr>
        <w:tabs>
          <w:tab w:val="left" w:pos="480"/>
        </w:tabs>
        <w:spacing w:after="100"/>
        <w:ind w:left="480" w:hanging="480"/>
      </w:pPr>
      <w:bookmarkStart w:name="en_72" w:id="39"/>
      <w:r>
        <w:rPr>
          <w:rFonts w:ascii="Calibri" w:cs="Calibri" w:eastAsia="Calibri" w:hAnsi="Calibri"/>
          <w:b/>
          <w:bCs/>
          <w:sz w:val="19"/>
          <w:szCs w:val="19"/>
        </w:rPr>
        <w:t xml:space="preserve">72.	</w:t>
      </w:r>
      <w:bookmarkEnd w:id="39"/>
      <w:r>
        <w:rPr>
          <w:rFonts w:ascii="Calibri" w:cs="Calibri" w:eastAsia="Calibri" w:hAnsi="Calibri"/>
          <w:sz w:val="19"/>
          <w:szCs w:val="19"/>
        </w:rPr>
        <w:t xml:space="preserve">ISO/IEC 42001:2023, “Information technology — Artificial intelligence — Management system,” December 2023; and ISO/IEC 42005:2025, “Information technology — Artificial intelligence (AI) — AI system impact assessment,” May 2025. </w:t>
      </w:r>
      <w:hyperlink w:history="1" r:id="rIdz9zxi_c7zp4clfqn2sdkx">
        <w:r>
          <w:rPr>
            <w:rFonts w:ascii="Calibri" w:cs="Calibri" w:eastAsia="Calibri" w:hAnsi="Calibri"/>
            <w:color w:val="0369A1"/>
            <w:sz w:val="19"/>
            <w:szCs w:val="19"/>
            <w:u w:val="single"/>
          </w:rPr>
          <w:t xml:space="preserve">https://www.iso.org/standard/42005</w:t>
        </w:r>
      </w:hyperlink>
    </w:p>
    <w:p>
      <w:pPr>
        <w:tabs>
          <w:tab w:val="left" w:pos="480"/>
        </w:tabs>
        <w:spacing w:after="100"/>
        <w:ind w:left="480" w:hanging="480"/>
      </w:pPr>
      <w:bookmarkStart w:name="en_73" w:id="40"/>
      <w:r>
        <w:rPr>
          <w:rFonts w:ascii="Calibri" w:cs="Calibri" w:eastAsia="Calibri" w:hAnsi="Calibri"/>
          <w:b/>
          <w:bCs/>
          <w:sz w:val="19"/>
          <w:szCs w:val="19"/>
        </w:rPr>
        <w:t xml:space="preserve">73.	</w:t>
      </w:r>
      <w:bookmarkEnd w:id="40"/>
      <w:r>
        <w:rPr>
          <w:rFonts w:ascii="Calibri" w:cs="Calibri" w:eastAsia="Calibri" w:hAnsi="Calibri"/>
          <w:sz w:val="19"/>
          <w:szCs w:val="19"/>
        </w:rPr>
        <w:t xml:space="preserve">National Institute of Standards and Technology, “Artificial Intelligence Risk Management Framework (AI RMF 1.0),” NIST AI 100-1, January 26, 2023; see also “Artificial Intelligence Risk Management Framework: Generative Artificial Intelligence Profile,” NIST AI 600-1, July 26, 2024. </w:t>
      </w:r>
      <w:hyperlink w:history="1" r:id="rIdsnkmddyd-gjg1g_yxy2ab">
        <w:r>
          <w:rPr>
            <w:rFonts w:ascii="Calibri" w:cs="Calibri" w:eastAsia="Calibri" w:hAnsi="Calibri"/>
            <w:color w:val="0369A1"/>
            <w:sz w:val="19"/>
            <w:szCs w:val="19"/>
            <w:u w:val="single"/>
          </w:rPr>
          <w:t xml:space="preserve">https://www.nist.gov/itl/ai-risk-management-framework</w:t>
        </w:r>
      </w:hyperlink>
      <w:r>
        <w:rPr>
          <w:rFonts w:ascii="Calibri" w:cs="Calibri" w:eastAsia="Calibri" w:hAnsi="Calibri"/>
          <w:sz w:val="19"/>
          <w:szCs w:val="19"/>
        </w:rPr>
        <w:t xml:space="preserve"> </w:t>
      </w:r>
      <w:hyperlink w:history="1" r:id="rId7_rry4e4ez0vefvzveckw">
        <w:r>
          <w:rPr>
            <w:rFonts w:ascii="Calibri" w:cs="Calibri" w:eastAsia="Calibri" w:hAnsi="Calibri"/>
            <w:color w:val="0369A1"/>
            <w:sz w:val="19"/>
            <w:szCs w:val="19"/>
            <w:u w:val="single"/>
          </w:rPr>
          <w:t xml:space="preserve">https://nvlpubs.nist.gov/nistpubs/ai/NIST.AI.100-1.pdf</w:t>
        </w:r>
      </w:hyperlink>
    </w:p>
    <w:p>
      <w:pPr>
        <w:tabs>
          <w:tab w:val="left" w:pos="480"/>
        </w:tabs>
        <w:spacing w:after="100"/>
        <w:ind w:left="480" w:hanging="480"/>
      </w:pPr>
      <w:bookmarkStart w:name="en_77" w:id="41"/>
      <w:r>
        <w:rPr>
          <w:rFonts w:ascii="Calibri" w:cs="Calibri" w:eastAsia="Calibri" w:hAnsi="Calibri"/>
          <w:b/>
          <w:bCs/>
          <w:sz w:val="19"/>
          <w:szCs w:val="19"/>
        </w:rPr>
        <w:t xml:space="preserve">77.	</w:t>
      </w:r>
      <w:bookmarkEnd w:id="41"/>
      <w:r>
        <w:rPr>
          <w:rFonts w:ascii="Calibri" w:cs="Calibri" w:eastAsia="Calibri" w:hAnsi="Calibri"/>
          <w:sz w:val="19"/>
          <w:szCs w:val="19"/>
        </w:rPr>
        <w:t xml:space="preserve">Informatica, “Informatica from Salesforce: Trusted context for agents,” accessed September 2026; see also Informatica, “New features and enhancements,” Informatica MCP servers, What’s New, April 2026 (Address Verification, CDGC Metadata Search and other MCP servers). </w:t>
      </w:r>
      <w:hyperlink w:history="1" r:id="rIdi4qdsceofxpoud3eoylim">
        <w:r>
          <w:rPr>
            <w:rFonts w:ascii="Calibri" w:cs="Calibri" w:eastAsia="Calibri" w:hAnsi="Calibri"/>
            <w:color w:val="0369A1"/>
            <w:sz w:val="19"/>
            <w:szCs w:val="19"/>
            <w:u w:val="single"/>
          </w:rPr>
          <w:t xml:space="preserve">https://www.informatica.com/salesforce.html</w:t>
        </w:r>
      </w:hyperlink>
      <w:r>
        <w:rPr>
          <w:rFonts w:ascii="Calibri" w:cs="Calibri" w:eastAsia="Calibri" w:hAnsi="Calibri"/>
          <w:sz w:val="19"/>
          <w:szCs w:val="19"/>
        </w:rPr>
        <w:t xml:space="preserve"> </w:t>
      </w:r>
      <w:hyperlink w:history="1" r:id="rIdim8hylcwxbutebhtyk4df">
        <w:r>
          <w:rPr>
            <w:rFonts w:ascii="Calibri" w:cs="Calibri" w:eastAsia="Calibri" w:hAnsi="Calibri"/>
            <w:color w:val="0369A1"/>
            <w:sz w:val="19"/>
            <w:szCs w:val="19"/>
            <w:u w:val="single"/>
          </w:rPr>
          <w:t xml:space="preserve">https://onlinehelp.informatica.com/IICS/prod/agentic-ui/en/aa-aiae-mcp-whats-new/New_features_and_enhancements_2.html</w:t>
        </w:r>
      </w:hyperlink>
    </w:p>
    <w:p>
      <w:pPr>
        <w:tabs>
          <w:tab w:val="left" w:pos="480"/>
        </w:tabs>
        <w:spacing w:after="100"/>
        <w:ind w:left="480" w:hanging="480"/>
      </w:pPr>
      <w:bookmarkStart w:name="en_78" w:id="42"/>
      <w:r>
        <w:rPr>
          <w:rFonts w:ascii="Calibri" w:cs="Calibri" w:eastAsia="Calibri" w:hAnsi="Calibri"/>
          <w:b/>
          <w:bCs/>
          <w:sz w:val="19"/>
          <w:szCs w:val="19"/>
        </w:rPr>
        <w:t xml:space="preserve">78.	</w:t>
      </w:r>
      <w:bookmarkEnd w:id="42"/>
      <w:r>
        <w:rPr>
          <w:rFonts w:ascii="Calibri" w:cs="Calibri" w:eastAsia="Calibri" w:hAnsi="Calibri"/>
          <w:sz w:val="19"/>
          <w:szCs w:val="19"/>
        </w:rPr>
        <w:t xml:space="preserve">MuleSoft, “Omni Gateway Policy Development Kit (PDK)” and “Omni Gateway agent policies,” product documentation, accessed September 2026. </w:t>
      </w:r>
      <w:hyperlink w:history="1" r:id="rIdqlk9fme_t3k46h5awbhxu">
        <w:r>
          <w:rPr>
            <w:rFonts w:ascii="Calibri" w:cs="Calibri" w:eastAsia="Calibri" w:hAnsi="Calibri"/>
            <w:color w:val="0369A1"/>
            <w:sz w:val="19"/>
            <w:szCs w:val="19"/>
            <w:u w:val="single"/>
          </w:rPr>
          <w:t xml:space="preserve">https://docs.mulesoft.com/pdk/latest/policies-pdk-develop-custom-policies</w:t>
        </w:r>
      </w:hyperlink>
      <w:r>
        <w:rPr>
          <w:rFonts w:ascii="Calibri" w:cs="Calibri" w:eastAsia="Calibri" w:hAnsi="Calibri"/>
          <w:sz w:val="19"/>
          <w:szCs w:val="19"/>
        </w:rPr>
        <w:t xml:space="preserve"> </w:t>
      </w:r>
      <w:hyperlink w:history="1" r:id="rIdkjh-dv9r589fye5o4z-nz">
        <w:r>
          <w:rPr>
            <w:rFonts w:ascii="Calibri" w:cs="Calibri" w:eastAsia="Calibri" w:hAnsi="Calibri"/>
            <w:color w:val="0369A1"/>
            <w:sz w:val="19"/>
            <w:szCs w:val="19"/>
            <w:u w:val="single"/>
          </w:rPr>
          <w:t xml:space="preserve">https://docs.mulesoft.com/gateway/latest/agent-policies</w:t>
        </w:r>
      </w:hyperlink>
    </w:p>
    <w:p>
      <w:pPr>
        <w:tabs>
          <w:tab w:val="left" w:pos="480"/>
        </w:tabs>
        <w:spacing w:after="100"/>
        <w:ind w:left="480" w:hanging="480"/>
      </w:pPr>
      <w:bookmarkStart w:name="en_82" w:id="43"/>
      <w:r>
        <w:rPr>
          <w:rFonts w:ascii="Calibri" w:cs="Calibri" w:eastAsia="Calibri" w:hAnsi="Calibri"/>
          <w:b/>
          <w:bCs/>
          <w:sz w:val="19"/>
          <w:szCs w:val="19"/>
        </w:rPr>
        <w:t xml:space="preserve">82.	</w:t>
      </w:r>
      <w:bookmarkEnd w:id="43"/>
      <w:r>
        <w:rPr>
          <w:rFonts w:ascii="Calibri" w:cs="Calibri" w:eastAsia="Calibri" w:hAnsi="Calibri"/>
          <w:sz w:val="19"/>
          <w:szCs w:val="19"/>
        </w:rPr>
        <w:t xml:space="preserve">Deloitte, “AI ROI: The paradox of rising investment and elusive returns,” 2025 (survey of 1,854 executives in Europe and the Middle East, August–September 2025). </w:t>
      </w:r>
      <w:hyperlink w:history="1" r:id="rIdndmrtn7yrhyj0tonda9b6">
        <w:r>
          <w:rPr>
            <w:rFonts w:ascii="Calibri" w:cs="Calibri" w:eastAsia="Calibri" w:hAnsi="Calibri"/>
            <w:color w:val="0369A1"/>
            <w:sz w:val="19"/>
            <w:szCs w:val="19"/>
            <w:u w:val="single"/>
          </w:rPr>
          <w:t xml:space="preserve">https://www.deloitte.com/global/en/what-we-do/capabilities/ai/research/ai-roi-the-paradox-of-rising-investment-and-elusive-returns.html</w:t>
        </w:r>
      </w:hyperlink>
    </w:p>
    <w:p>
      <w:pPr>
        <w:tabs>
          <w:tab w:val="left" w:pos="480"/>
        </w:tabs>
        <w:spacing w:after="100"/>
        <w:ind w:left="480" w:hanging="480"/>
      </w:pPr>
      <w:bookmarkStart w:name="en_83" w:id="44"/>
      <w:r>
        <w:rPr>
          <w:rFonts w:ascii="Calibri" w:cs="Calibri" w:eastAsia="Calibri" w:hAnsi="Calibri"/>
          <w:b/>
          <w:bCs/>
          <w:sz w:val="19"/>
          <w:szCs w:val="19"/>
        </w:rPr>
        <w:t xml:space="preserve">83.	</w:t>
      </w:r>
      <w:bookmarkEnd w:id="44"/>
      <w:r>
        <w:rPr>
          <w:rFonts w:ascii="Calibri" w:cs="Calibri" w:eastAsia="Calibri" w:hAnsi="Calibri"/>
          <w:sz w:val="19"/>
          <w:szCs w:val="19"/>
        </w:rPr>
        <w:t xml:space="preserve">KPMG International, “KPMG 2025 Global CEO Outlook,” October 2025 (survey of 1,350 CEOs, August 5 to September 10, 2025). </w:t>
      </w:r>
      <w:hyperlink w:history="1" r:id="rIdtwsvzlkb_i2t3lmjxqmxo">
        <w:r>
          <w:rPr>
            <w:rFonts w:ascii="Calibri" w:cs="Calibri" w:eastAsia="Calibri" w:hAnsi="Calibri"/>
            <w:color w:val="0369A1"/>
            <w:sz w:val="19"/>
            <w:szCs w:val="19"/>
            <w:u w:val="single"/>
          </w:rPr>
          <w:t xml:space="preserve">https://kpmg.com/kz/en/insights/2025/10/kpmg-2025-ceo-outlook.html</w:t>
        </w:r>
      </w:hyperlink>
    </w:p>
    <w:p>
      <w:pPr>
        <w:tabs>
          <w:tab w:val="left" w:pos="480"/>
        </w:tabs>
        <w:spacing w:after="100"/>
        <w:ind w:left="480" w:hanging="480"/>
      </w:pPr>
      <w:bookmarkStart w:name="en_85" w:id="45"/>
      <w:r>
        <w:rPr>
          <w:rFonts w:ascii="Calibri" w:cs="Calibri" w:eastAsia="Calibri" w:hAnsi="Calibri"/>
          <w:b/>
          <w:bCs/>
          <w:sz w:val="19"/>
          <w:szCs w:val="19"/>
        </w:rPr>
        <w:t xml:space="preserve">85.	</w:t>
      </w:r>
      <w:bookmarkEnd w:id="45"/>
      <w:r>
        <w:rPr>
          <w:rFonts w:ascii="Calibri" w:cs="Calibri" w:eastAsia="Calibri" w:hAnsi="Calibri"/>
          <w:sz w:val="19"/>
          <w:szCs w:val="19"/>
        </w:rPr>
        <w:t xml:space="preserve">Nina Kataeva, Vinciane Beauchene, Christoph Hilberath, Kevin Kelley, and Sophie Strelczyk, “Design your company for AI, not AI for your company,” Boston Consulting Group, April 23, 2026. </w:t>
      </w:r>
      <w:hyperlink w:history="1" r:id="rIdqufl3xumv74jgxdwtklp3">
        <w:r>
          <w:rPr>
            <w:rFonts w:ascii="Calibri" w:cs="Calibri" w:eastAsia="Calibri" w:hAnsi="Calibri"/>
            <w:color w:val="0369A1"/>
            <w:sz w:val="19"/>
            <w:szCs w:val="19"/>
            <w:u w:val="single"/>
          </w:rPr>
          <w:t xml:space="preserve">https://www.bcg.com/publications/2026/design-your-company-for-ai-not-ai-for-your-company</w:t>
        </w:r>
      </w:hyperlink>
    </w:p>
    <w:p>
      <w:pPr>
        <w:tabs>
          <w:tab w:val="left" w:pos="480"/>
        </w:tabs>
        <w:spacing w:after="100"/>
        <w:ind w:left="480" w:hanging="480"/>
      </w:pPr>
      <w:bookmarkStart w:name="en_88" w:id="46"/>
      <w:r>
        <w:rPr>
          <w:rFonts w:ascii="Calibri" w:cs="Calibri" w:eastAsia="Calibri" w:hAnsi="Calibri"/>
          <w:b/>
          <w:bCs/>
          <w:sz w:val="19"/>
          <w:szCs w:val="19"/>
        </w:rPr>
        <w:t xml:space="preserve">88.	</w:t>
      </w:r>
      <w:bookmarkEnd w:id="46"/>
      <w:r>
        <w:rPr>
          <w:rFonts w:ascii="Calibri" w:cs="Calibri" w:eastAsia="Calibri" w:hAnsi="Calibri"/>
          <w:sz w:val="19"/>
          <w:szCs w:val="19"/>
        </w:rPr>
        <w:t xml:space="preserve">Vinciane Beauchene, Sylvain Duranton, David Martin, Vanessa Lyon, and Jeff Walters, “AI at work: Why strategy matters more than tools,” Boston Consulting Group, June 2, 2026 (survey of close to 12,000 employees, managers and leaders). </w:t>
      </w:r>
      <w:hyperlink w:history="1" r:id="rId7jbxob9zssrpybk1xed4v">
        <w:r>
          <w:rPr>
            <w:rFonts w:ascii="Calibri" w:cs="Calibri" w:eastAsia="Calibri" w:hAnsi="Calibri"/>
            <w:color w:val="0369A1"/>
            <w:sz w:val="19"/>
            <w:szCs w:val="19"/>
            <w:u w:val="single"/>
          </w:rPr>
          <w:t xml:space="preserve">https://www.bcg.com/publications/2026/ai-at-work-why-strategy-matters-more-than-tools</w:t>
        </w:r>
      </w:hyperlink>
    </w:p>
    <w:p>
      <w:pPr>
        <w:tabs>
          <w:tab w:val="left" w:pos="480"/>
        </w:tabs>
        <w:spacing w:after="100"/>
        <w:ind w:left="480" w:hanging="480"/>
      </w:pPr>
      <w:bookmarkStart w:name="en_89" w:id="47"/>
      <w:r>
        <w:rPr>
          <w:rFonts w:ascii="Calibri" w:cs="Calibri" w:eastAsia="Calibri" w:hAnsi="Calibri"/>
          <w:b/>
          <w:bCs/>
          <w:sz w:val="19"/>
          <w:szCs w:val="19"/>
        </w:rPr>
        <w:t xml:space="preserve">89.	</w:t>
      </w:r>
      <w:bookmarkEnd w:id="47"/>
      <w:r>
        <w:rPr>
          <w:rFonts w:ascii="Calibri" w:cs="Calibri" w:eastAsia="Calibri" w:hAnsi="Calibri"/>
          <w:sz w:val="19"/>
          <w:szCs w:val="19"/>
        </w:rPr>
        <w:t xml:space="preserve">US Securities and Exchange Commission, Regulation S-X Rule 2-01, “Qualifications of accountants” (auditor independence), 17 CFR 210.2-01. </w:t>
      </w:r>
      <w:hyperlink w:history="1" r:id="rId4f_sgste9xfvzmvjlyvu1">
        <w:r>
          <w:rPr>
            <w:rFonts w:ascii="Calibri" w:cs="Calibri" w:eastAsia="Calibri" w:hAnsi="Calibri"/>
            <w:color w:val="0369A1"/>
            <w:sz w:val="19"/>
            <w:szCs w:val="19"/>
            <w:u w:val="single"/>
          </w:rPr>
          <w:t xml:space="preserve">https://www.ecfr.gov/current/title-17/chapter-II/part-210/subject-group-ECFR2f5dcb24c1c571e/section-210.2-01</w:t>
        </w:r>
      </w:hyperlink>
    </w:p>
    <w:p>
      <w:pPr>
        <w:tabs>
          <w:tab w:val="left" w:pos="480"/>
        </w:tabs>
        <w:spacing w:after="100"/>
        <w:ind w:left="480" w:hanging="480"/>
      </w:pPr>
      <w:bookmarkStart w:name="en_90" w:id="48"/>
      <w:r>
        <w:rPr>
          <w:rFonts w:ascii="Calibri" w:cs="Calibri" w:eastAsia="Calibri" w:hAnsi="Calibri"/>
          <w:b/>
          <w:bCs/>
          <w:sz w:val="19"/>
          <w:szCs w:val="19"/>
        </w:rPr>
        <w:t xml:space="preserve">90.	</w:t>
      </w:r>
      <w:bookmarkEnd w:id="48"/>
      <w:r>
        <w:rPr>
          <w:rFonts w:ascii="Calibri" w:cs="Calibri" w:eastAsia="Calibri" w:hAnsi="Calibri"/>
          <w:sz w:val="19"/>
          <w:szCs w:val="19"/>
        </w:rPr>
        <w:t xml:space="preserve">Scott Rose, Oliver Borchert, Stu Mitchell, and Sean Connelly, “Zero Trust Architecture,” NIST Special Publication 800-207, August 2020. </w:t>
      </w:r>
      <w:hyperlink w:history="1" r:id="rIdpqknb-nmu-sd7bznot_np">
        <w:r>
          <w:rPr>
            <w:rFonts w:ascii="Calibri" w:cs="Calibri" w:eastAsia="Calibri" w:hAnsi="Calibri"/>
            <w:color w:val="0369A1"/>
            <w:sz w:val="19"/>
            <w:szCs w:val="19"/>
            <w:u w:val="single"/>
          </w:rPr>
          <w:t xml:space="preserve">https://csrc.nist.gov/pubs/sp/800/207/final</w:t>
        </w:r>
      </w:hyperlink>
    </w:p>
    <w:p>
      <w:pPr>
        <w:tabs>
          <w:tab w:val="left" w:pos="480"/>
        </w:tabs>
        <w:spacing w:after="100"/>
        <w:ind w:left="480" w:hanging="480"/>
      </w:pPr>
      <w:bookmarkStart w:name="en_91" w:id="49"/>
      <w:r>
        <w:rPr>
          <w:rFonts w:ascii="Calibri" w:cs="Calibri" w:eastAsia="Calibri" w:hAnsi="Calibri"/>
          <w:b/>
          <w:bCs/>
          <w:sz w:val="19"/>
          <w:szCs w:val="19"/>
        </w:rPr>
        <w:t xml:space="preserve">91.	</w:t>
      </w:r>
      <w:bookmarkEnd w:id="49"/>
      <w:r>
        <w:rPr>
          <w:rFonts w:ascii="Calibri" w:cs="Calibri" w:eastAsia="Calibri" w:hAnsi="Calibri"/>
          <w:sz w:val="19"/>
          <w:szCs w:val="19"/>
        </w:rPr>
        <w:t xml:space="preserve">SPIFFE: Secure Production Identity Framework for Everyone, Cloud Native Computing Foundation. </w:t>
      </w:r>
      <w:hyperlink w:history="1" r:id="rIdzt7ujvkxlqdrft_m7xj2p">
        <w:r>
          <w:rPr>
            <w:rFonts w:ascii="Calibri" w:cs="Calibri" w:eastAsia="Calibri" w:hAnsi="Calibri"/>
            <w:color w:val="0369A1"/>
            <w:sz w:val="19"/>
            <w:szCs w:val="19"/>
            <w:u w:val="single"/>
          </w:rPr>
          <w:t xml:space="preserve">https://spiffe.io</w:t>
        </w:r>
      </w:hyperlink>
    </w:p>
    <w:p>
      <w:pPr>
        <w:tabs>
          <w:tab w:val="left" w:pos="480"/>
        </w:tabs>
        <w:spacing w:after="100"/>
        <w:ind w:left="480" w:hanging="480"/>
      </w:pPr>
      <w:bookmarkStart w:name="en_92" w:id="50"/>
      <w:r>
        <w:rPr>
          <w:rFonts w:ascii="Calibri" w:cs="Calibri" w:eastAsia="Calibri" w:hAnsi="Calibri"/>
          <w:b/>
          <w:bCs/>
          <w:sz w:val="19"/>
          <w:szCs w:val="19"/>
        </w:rPr>
        <w:t xml:space="preserve">92.	</w:t>
      </w:r>
      <w:bookmarkEnd w:id="50"/>
      <w:r>
        <w:rPr>
          <w:rFonts w:ascii="Calibri" w:cs="Calibri" w:eastAsia="Calibri" w:hAnsi="Calibri"/>
          <w:sz w:val="19"/>
          <w:szCs w:val="19"/>
        </w:rPr>
        <w:t xml:space="preserve">Michael B. Jones et al., “OAuth 2.0 Token Exchange,” IETF RFC 8693, January 2020. </w:t>
      </w:r>
      <w:hyperlink w:history="1" r:id="rIdk3n8uawwnq60d7f7ck25p">
        <w:r>
          <w:rPr>
            <w:rFonts w:ascii="Calibri" w:cs="Calibri" w:eastAsia="Calibri" w:hAnsi="Calibri"/>
            <w:color w:val="0369A1"/>
            <w:sz w:val="19"/>
            <w:szCs w:val="19"/>
            <w:u w:val="single"/>
          </w:rPr>
          <w:t xml:space="preserve">https://www.rfc-editor.org/rfc/rfc8693</w:t>
        </w:r>
      </w:hyperlink>
    </w:p>
    <w:p>
      <w:pPr>
        <w:tabs>
          <w:tab w:val="left" w:pos="480"/>
        </w:tabs>
        <w:spacing w:after="100"/>
        <w:ind w:left="480" w:hanging="480"/>
      </w:pPr>
      <w:bookmarkStart w:name="en_93" w:id="51"/>
      <w:r>
        <w:rPr>
          <w:rFonts w:ascii="Calibri" w:cs="Calibri" w:eastAsia="Calibri" w:hAnsi="Calibri"/>
          <w:b/>
          <w:bCs/>
          <w:sz w:val="19"/>
          <w:szCs w:val="19"/>
        </w:rPr>
        <w:t xml:space="preserve">93.	</w:t>
      </w:r>
      <w:bookmarkEnd w:id="51"/>
      <w:r>
        <w:rPr>
          <w:rFonts w:ascii="Calibri" w:cs="Calibri" w:eastAsia="Calibri" w:hAnsi="Calibri"/>
          <w:sz w:val="19"/>
          <w:szCs w:val="19"/>
        </w:rPr>
        <w:t xml:space="preserve">OWASP GenAI Security Project, “Top 10 for LLM Applications 2026,” August 3, 2026. </w:t>
      </w:r>
      <w:hyperlink w:history="1" r:id="rIdicvjz57j1y7sodzg60k9s">
        <w:r>
          <w:rPr>
            <w:rFonts w:ascii="Calibri" w:cs="Calibri" w:eastAsia="Calibri" w:hAnsi="Calibri"/>
            <w:color w:val="0369A1"/>
            <w:sz w:val="19"/>
            <w:szCs w:val="19"/>
            <w:u w:val="single"/>
          </w:rPr>
          <w:t xml:space="preserve">https://genai.owasp.org/resource/owasp-genai-llm-top-10-2026/</w:t>
        </w:r>
      </w:hyperlink>
    </w:p>
    <w:p>
      <w:pPr>
        <w:tabs>
          <w:tab w:val="left" w:pos="480"/>
        </w:tabs>
        <w:spacing w:after="100"/>
        <w:ind w:left="480" w:hanging="480"/>
      </w:pPr>
      <w:bookmarkStart w:name="en_94" w:id="52"/>
      <w:r>
        <w:rPr>
          <w:rFonts w:ascii="Calibri" w:cs="Calibri" w:eastAsia="Calibri" w:hAnsi="Calibri"/>
          <w:b/>
          <w:bCs/>
          <w:sz w:val="19"/>
          <w:szCs w:val="19"/>
        </w:rPr>
        <w:t xml:space="preserve">94.	</w:t>
      </w:r>
      <w:bookmarkEnd w:id="52"/>
      <w:r>
        <w:rPr>
          <w:rFonts w:ascii="Calibri" w:cs="Calibri" w:eastAsia="Calibri" w:hAnsi="Calibri"/>
          <w:sz w:val="19"/>
          <w:szCs w:val="19"/>
        </w:rPr>
        <w:t xml:space="preserve">OpenTelemetry, “Semantic conventions for generative AI systems” (development status), semantic-conventions-genai repository, accessed September 2026. </w:t>
      </w:r>
      <w:hyperlink w:history="1" r:id="rIdb_5zzlbop5w4wu6oziefu">
        <w:r>
          <w:rPr>
            <w:rFonts w:ascii="Calibri" w:cs="Calibri" w:eastAsia="Calibri" w:hAnsi="Calibri"/>
            <w:color w:val="0369A1"/>
            <w:sz w:val="19"/>
            <w:szCs w:val="19"/>
            <w:u w:val="single"/>
          </w:rPr>
          <w:t xml:space="preserve">https://github.com/open-telemetry/semantic-conventions-genai</w:t>
        </w:r>
      </w:hyperlink>
    </w:p>
    <w:p>
      <w:pPr>
        <w:pStyle w:val="Heading1"/>
        <w:keepNext/>
        <w:pageBreakBefore/>
      </w:pPr>
      <w:bookmarkStart w:name="notices" w:id="53"/>
      <w:r>
        <w:rPr>
          <w:rFonts w:ascii="Calibri" w:cs="Calibri" w:eastAsia="Calibri" w:hAnsi="Calibri"/>
        </w:rPr>
        <w:t xml:space="preserve">Notices and disclosures</w:t>
      </w:r>
      <w:bookmarkEnd w:id="53"/>
    </w:p>
    <w:p>
      <w:pPr>
        <w:spacing w:after="140"/>
      </w:pPr>
      <w:r>
        <w:rPr>
          <w:rFonts w:ascii="Calibri" w:cs="Calibri" w:eastAsia="Calibri" w:hAnsi="Calibri"/>
          <w:b/>
          <w:bCs/>
        </w:rPr>
        <w:t xml:space="preserve">Copyright and license.</w:t>
      </w:r>
      <w:r>
        <w:rPr>
          <w:rFonts w:ascii="Calibri" w:cs="Calibri" w:eastAsia="Calibri" w:hAnsi="Calibri"/>
        </w:rPr>
        <w:t xml:space="preserve"> © 2026 John Fisher. This document is part of the AI Control Plane Assessment toolkit, with the guide Assessing an AI Control Plane Project, the client report template and the client deck. The toolkit is licensed under the Creative Commons Attribution-NonCommercial-NoDerivatives 4.0 International License (CC BY-NC-ND 4.0), </w:t>
      </w:r>
      <w:hyperlink w:history="1" r:id="rId04nfjywsqmnis2-lbb7r1">
        <w:r>
          <w:rPr>
            <w:rFonts w:ascii="Calibri" w:cs="Calibri" w:eastAsia="Calibri" w:hAnsi="Calibri"/>
            <w:color w:val="0369A1"/>
            <w:u w:val="single"/>
          </w:rPr>
          <w:t xml:space="preserve">https://creativecommons.org/licenses/by-nc-nd/4.0/</w:t>
        </w:r>
      </w:hyperlink>
      <w:r>
        <w:rPr>
          <w:rFonts w:ascii="Calibri" w:cs="Calibri" w:eastAsia="Calibri" w:hAnsi="Calibri"/>
        </w:rPr>
        <w:t xml:space="preserve">. You may copy and share it, in whole or in part, without changes and for non-commercial purposes, if you credit John Fisher and link to the license. Suggested credit: John Fisher, AI Control Plane Assessment toolkit (2026), CC BY-NC-ND 4.0. The license covers John Fisher’s own text and figures; it does not cover trademarks, the icons credited below, or the quotations, data and other material of the sources cited, which belong to their owners.</w:t>
      </w:r>
    </w:p>
    <w:p>
      <w:pPr>
        <w:spacing w:after="140"/>
      </w:pPr>
      <w:r>
        <w:rPr>
          <w:rFonts w:ascii="Calibri" w:cs="Calibri" w:eastAsia="Calibri" w:hAnsi="Calibri"/>
          <w:b/>
          <w:bCs/>
        </w:rPr>
        <w:t xml:space="preserve">Additional permission for the toolkit.</w:t>
      </w:r>
      <w:r>
        <w:rPr>
          <w:rFonts w:ascii="Calibri" w:cs="Calibri" w:eastAsia="Calibri" w:hAnsi="Calibri"/>
        </w:rPr>
        <w:t xml:space="preserve"> In addition to the license, and without changing it, John Fisher permits you to use the toolkit to run AI control plane assessments, inside your organization or for clients, including in paid work. For those assessments you may fill in and adapt the templates and slides and give the completed reports and readouts to the organization assessed, which may use them for its own purposes, provided each one carries this credit: “Based on the AI Control Plane Assessment toolkit by John Fisher, used with his permission.” This permission does not cover selling the toolkit or publishing changed versions of it. The license’s disclaimer of warranties and limitation of liability apply to this permission too.</w:t>
      </w:r>
    </w:p>
    <w:p>
      <w:pPr>
        <w:spacing w:after="140"/>
      </w:pPr>
      <w:r>
        <w:rPr>
          <w:rFonts w:ascii="Calibri" w:cs="Calibri" w:eastAsia="Calibri" w:hAnsi="Calibri"/>
          <w:b/>
          <w:bCs/>
        </w:rPr>
        <w:t xml:space="preserve">Additional permission for the Word templates.</w:t>
      </w:r>
      <w:r>
        <w:rPr>
          <w:rFonts w:ascii="Calibri" w:cs="Calibri" w:eastAsia="Calibri" w:hAnsi="Calibri"/>
        </w:rPr>
        <w:t xml:space="preserve"> In addition to the license, and without changing it, John Fisher permits you to adapt the downloadable Word document of templates T1 to T13 for your own work, in an assessment or outside one. You may edit, shorten, translate or restyle the templates, combine them with your own material, and share the adapted versions inside your organization or with clients, including in paid work, provided each one carries this credit: “Adapted from the AI Control Plane Assessment toolkit by John Fisher, used with his permission.” This permission does not cover selling the templates or publishing changed versions of them, for example on a website. The license’s disclaimer of warranties and limitation of liability apply to this permission too.</w:t>
      </w:r>
    </w:p>
    <w:p>
      <w:pPr>
        <w:spacing w:after="140"/>
      </w:pPr>
      <w:r>
        <w:rPr>
          <w:rFonts w:ascii="Calibri" w:cs="Calibri" w:eastAsia="Calibri" w:hAnsi="Calibri"/>
          <w:b/>
          <w:bCs/>
        </w:rPr>
        <w:t xml:space="preserve">Disclosure.</w:t>
      </w:r>
      <w:r>
        <w:rPr>
          <w:rFonts w:ascii="Calibri" w:cs="Calibri" w:eastAsia="Calibri" w:hAnsi="Calibri"/>
        </w:rPr>
        <w:t xml:space="preserve"> John Fisher works for Salesforce. He wrote this toolkit independently, on his own time and not as part of his work at Salesforce, using only public information. The views in it are his own, not those of Salesforce or any other company named, and it is not sponsored or endorsed by Salesforce or any of them.</w:t>
      </w:r>
    </w:p>
    <w:p>
      <w:pPr>
        <w:spacing w:after="140"/>
      </w:pPr>
      <w:r>
        <w:rPr>
          <w:rFonts w:ascii="Calibri" w:cs="Calibri" w:eastAsia="Calibri" w:hAnsi="Calibri"/>
          <w:b/>
          <w:bCs/>
        </w:rPr>
        <w:t xml:space="preserve">Trademarks.</w:t>
      </w:r>
      <w:r>
        <w:rPr>
          <w:rFonts w:ascii="Calibri" w:cs="Calibri" w:eastAsia="Calibri" w:hAnsi="Calibri"/>
        </w:rPr>
        <w:t xml:space="preserve"> Salesforce, Agentforce, MuleSoft, MuleSoft Agent Fabric, CloudHub, Runtime Fabric, Omni Gateway, Slack and Informatica are trademarks of Salesforce, Inc. or its affiliates. Other Salesforce, MuleSoft and Informatica product names may also be trademarks of Salesforce, Inc. or its affiliates. SAP and SAP S/4HANA are the trademarks or registered trademarks of SAP SE or its affiliates in Germany and in other countries. Microsoft, Azure, Microsoft 365, Microsoft Agent 365, Microsoft Copilot Studio, Microsoft Entra, Microsoft Foundry and Microsoft Teams are trademarks of the Microsoft group of companies. Amazon, Amazon Web Services, AWS, Amazon Bedrock and AgentCore are trademarks of Amazon.com, Inc. or its affiliates. Google, Google Cloud and Gemini are trademarks of Google LLC. Snowflake is a trademark of Snowflake Inc. Workday is a trademark of Workday, Inc. OpenTelemetry and SPIFFE are trademarks of The Linux Foundation. OWASP is a registered trademark of the OWASP Foundation, Inc. MITRE and MITRE ATLAS are trademarks of The MITRE Corporation. Rust is a trademark of the Rust Foundation. Other product, company and organization names may be trademarks of their respective owners. Names are used only to identify the products, services, standards and organizations discussed; their use does not imply endorsement or sponsorship by any of them, or any affiliation beyond the employment disclosed above, and citing a research firm, publisher, standards body or regulator does not mean it reviewed or endorses this toolkit.</w:t>
      </w:r>
    </w:p>
    <w:p>
      <w:pPr>
        <w:spacing w:after="140"/>
      </w:pPr>
      <w:r>
        <w:rPr>
          <w:rFonts w:ascii="Calibri" w:cs="Calibri" w:eastAsia="Calibri" w:hAnsi="Calibri"/>
          <w:b/>
          <w:bCs/>
        </w:rPr>
        <w:t xml:space="preserve">Sources and quotations.</w:t>
      </w:r>
      <w:r>
        <w:rPr>
          <w:rFonts w:ascii="Calibri" w:cs="Calibri" w:eastAsia="Calibri" w:hAnsi="Calibri"/>
        </w:rPr>
        <w:t xml:space="preserve"> Statistics, findings and short quotations from other publications remain their owners’ work; they are cited for commentary and research, and each source is listed under Sources. Links were checked when this edition was prepared and may change.</w:t>
      </w:r>
    </w:p>
    <w:p>
      <w:pPr>
        <w:spacing w:after="140"/>
      </w:pPr>
      <w:r>
        <w:rPr>
          <w:rFonts w:ascii="Calibri" w:cs="Calibri" w:eastAsia="Calibri" w:hAnsi="Calibri"/>
          <w:b/>
          <w:bCs/>
        </w:rPr>
        <w:t xml:space="preserve">Illustrative material.</w:t>
      </w:r>
      <w:r>
        <w:rPr>
          <w:rFonts w:ascii="Calibri" w:cs="Calibri" w:eastAsia="Calibri" w:hAnsi="Calibri"/>
        </w:rPr>
        <w:t xml:space="preserve"> The reference use cases are illustrative: their organizations and people are fictional, and their business cases, baselines, costs and phased values are not results from any customer or company. Measure your own baseline before relying on any illustrative figure.</w:t>
      </w:r>
    </w:p>
    <w:p>
      <w:pPr>
        <w:spacing w:after="140"/>
      </w:pPr>
      <w:r>
        <w:rPr>
          <w:rFonts w:ascii="Calibri" w:cs="Calibri" w:eastAsia="Calibri" w:hAnsi="Calibri"/>
          <w:b/>
          <w:bCs/>
        </w:rPr>
        <w:t xml:space="preserve">Product information.</w:t>
      </w:r>
      <w:r>
        <w:rPr>
          <w:rFonts w:ascii="Calibri" w:cs="Calibri" w:eastAsia="Calibri" w:hAnsi="Calibri"/>
        </w:rPr>
        <w:t xml:space="preserve"> Capability descriptions are based on public vendor documentation checked in September and October 2026. Products, names and features change, so check current vendor documentation before relying on any capability. Policies labeled custom are designs that an organization would build, test and support itself with the MuleSoft Policy Development Kit; they are not MuleSoft products.</w:t>
      </w:r>
    </w:p>
    <w:p>
      <w:pPr>
        <w:spacing w:after="140"/>
      </w:pPr>
      <w:r>
        <w:rPr>
          <w:rFonts w:ascii="Calibri" w:cs="Calibri" w:eastAsia="Calibri" w:hAnsi="Calibri"/>
          <w:b/>
          <w:bCs/>
        </w:rPr>
        <w:t xml:space="preserve">Not professional advice.</w:t>
      </w:r>
      <w:r>
        <w:rPr>
          <w:rFonts w:ascii="Calibri" w:cs="Calibri" w:eastAsia="Calibri" w:hAnsi="Calibri"/>
        </w:rPr>
        <w:t xml:space="preserve"> This document is general information for architecture and technology planning. It is not legal, regulatory, compliance, financial or investment advice, or a security assessment of any organization; seek qualified advice before acting on those matters. It is provided as is, without warranty of any kind, and to the extent the law allows, John Fisher is not liable for any loss arising from its use.</w:t>
      </w:r>
    </w:p>
    <w:p>
      <w:pPr>
        <w:spacing w:after="140"/>
      </w:pPr>
      <w:r>
        <w:rPr>
          <w:rFonts w:ascii="Calibri" w:cs="Calibri" w:eastAsia="Calibri" w:hAnsi="Calibri"/>
          <w:b/>
          <w:bCs/>
        </w:rPr>
        <w:t xml:space="preserve">Credits.</w:t>
      </w:r>
      <w:r>
        <w:rPr>
          <w:rFonts w:ascii="Calibri" w:cs="Calibri" w:eastAsia="Calibri" w:hAnsi="Calibri"/>
        </w:rPr>
        <w:t xml:space="preserve"> Some figures use icons from Font Awesome Free by Fonticons, Inc., recolored, licensed under CC BY 4.0, </w:t>
      </w:r>
      <w:hyperlink w:history="1" r:id="rIdehx-t9rseqrt8cgtkkaga">
        <w:r>
          <w:rPr>
            <w:rFonts w:ascii="Calibri" w:cs="Calibri" w:eastAsia="Calibri" w:hAnsi="Calibri"/>
            <w:color w:val="0369A1"/>
            <w:u w:val="single"/>
          </w:rPr>
          <w:t xml:space="preserve">https://creativecommons.org/licenses/by/4.0/</w:t>
        </w:r>
      </w:hyperlink>
      <w:r>
        <w:rPr>
          <w:rFonts w:ascii="Calibri" w:cs="Calibri" w:eastAsia="Calibri" w:hAnsi="Calibri"/>
        </w:rPr>
        <w:t xml:space="preserve">.</w:t>
      </w:r>
    </w:p>
    <w:p>
      <w:pPr>
        <w:pStyle w:val="Heading1"/>
        <w:keepNext/>
      </w:pPr>
      <w:bookmarkStart w:name="author" w:id="54"/>
      <w:r>
        <w:rPr>
          <w:rFonts w:ascii="Calibri" w:cs="Calibri" w:eastAsia="Calibri" w:hAnsi="Calibri"/>
        </w:rPr>
        <w:t xml:space="preserve">About John Fisher</w:t>
      </w:r>
      <w:bookmarkEnd w:id="54"/>
    </w:p>
    <w:p>
      <w:pPr>
        <w:spacing w:after="140"/>
      </w:pPr>
      <w:r>
        <w:rPr>
          <w:rFonts w:ascii="Calibri" w:cs="Calibri" w:eastAsia="Calibri" w:hAnsi="Calibri"/>
        </w:rPr>
        <w:t xml:space="preserve">I’m John Fisher. At Salesforce, I help enterprises architect the data foundation that AI depends on: MuleSoft for integration and APIs, Informatica for data management, and the MCP and A2A protocols that connect agents to tools, data and each other. Before Salesforce, I spent fourteen years at TIBCO leading solution engineering for enterprise accounts. Across both companies, my work has sat where enterprise architecture, integration and data meet business strategy.</w:t>
      </w:r>
    </w:p>
    <w:p>
      <w:pPr>
        <w:spacing w:after="140"/>
      </w:pPr>
      <w:r>
        <w:rPr>
          <w:rFonts w:ascii="Calibri" w:cs="Calibri" w:eastAsia="Calibri" w:hAnsi="Calibri"/>
        </w:rPr>
        <w:t xml:space="preserve">I’m also a statistician. I hold a master’s in computer science and mathematics from Drexel University and a master’s in applied statistics and data science from West Chester University of Pennsylvania. At the West Chester Statistical Institute, I lead the statistical analysis for research teams publishing peer-reviewed studies. And I’m building Aethos, an open-source, AI-first programming language for data cleaning, machine learning and AI.</w:t>
      </w:r>
    </w:p>
    <w:p>
      <w:pPr>
        <w:spacing w:after="140"/>
      </w:pPr>
      <w:r>
        <w:rPr>
          <w:rFonts w:ascii="Calibri" w:cs="Calibri" w:eastAsia="Calibri" w:hAnsi="Calibri"/>
        </w:rPr>
        <w:t xml:space="preserve">My writing is where I work through what happens when AI agents move past experiments and start acting across real enterprise systems. The questions that interest me most are architectural: how an agent proves who it is, what policy decides what it may reach, how its cost is measured and controlled, what evidence it leaves behind, how agents built on different platforms work together, and what it takes to run all of that at scale.</w:t>
      </w:r>
    </w:p>
    <w:p>
      <w:pPr>
        <w:spacing w:after="140"/>
      </w:pPr>
      <w:r>
        <w:rPr>
          <w:rFonts w:ascii="Calibri" w:cs="Calibri" w:eastAsia="Calibri" w:hAnsi="Calibri"/>
        </w:rPr>
        <w:t xml:space="preserve">Some of what I write names Salesforce, MuleSoft or Informatica technology. It’s the technology I know most deeply, so it’s often the quickest way to make an idea concrete. I use it as one example of a broader pattern, not as the only answer, and the target architectures I start from are vendor-neutral by design.</w:t>
      </w:r>
    </w:p>
    <w:p>
      <w:pPr>
        <w:spacing w:after="140"/>
      </w:pPr>
      <w:r>
        <w:rPr>
          <w:rFonts w:ascii="Calibri" w:cs="Calibri" w:eastAsia="Calibri" w:hAnsi="Calibri"/>
        </w:rPr>
        <w:t xml:space="preserve">The views here are my own, drawn from public information, and they don’t represent Salesforce. Some of these ideas are settled; others are still taking shape, and I expect to revise them as the technology and the standards change. If you see things differently, or have seen something work in practice, I’d like to hear from you on LinkedIn: </w:t>
      </w:r>
      <w:hyperlink w:history="1" r:id="rIdgkkx6w3ud_ebanb1hqmin">
        <w:r>
          <w:rPr>
            <w:rFonts w:ascii="Calibri" w:cs="Calibri" w:eastAsia="Calibri" w:hAnsi="Calibri"/>
            <w:color w:val="0369A1"/>
            <w:u w:val="single"/>
          </w:rPr>
          <w:t xml:space="preserve">linkedin.com/in/johnrfisher</w:t>
        </w:r>
      </w:hyperlink>
      <w:r>
        <w:rPr>
          <w:rFonts w:ascii="Calibri" w:cs="Calibri" w:eastAsia="Calibri" w:hAnsi="Calibri"/>
        </w:rPr>
        <w:t xml:space="preserve">.</w:t>
      </w:r>
    </w:p>
    <w:sectPr>
      <w:headerReference w:type="default" r:id="rId7"/>
      <w:headerReference w:type="first" r:id="rId8"/>
      <w:footerReference w:type="default" r:id="rId9"/>
      <w:footerReference w:type="first" r:id="rId10"/>
      <w:pgSz w:w="12240" w:h="15840" w:orient="portrait"/>
      <w:pgMar w:top="1440" w:right="1440" w:bottom="1440" w:left="1440" w:header="708" w:footer="708"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360"/>
      </w:tabs>
    </w:pPr>
    <w:r>
      <w:rPr>
        <w:rFonts w:ascii="Calibri" w:cs="Calibri" w:eastAsia="Calibri" w:hAnsi="Calibri"/>
        <w:color w:val="64748B"/>
        <w:sz w:val="16"/>
        <w:szCs w:val="16"/>
      </w:rPr>
      <w:t xml:space="preserve">John Fisher, 2026  ·  CC BY-NC-ND 4.0</w:t>
    </w:r>
    <w:r>
      <w:rPr>
        <w:rFonts w:ascii="Calibri" w:cs="Calibri" w:eastAsia="Calibri" w:hAnsi="Calibri"/>
        <w:color w:val="64748B"/>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Calibri" w:cs="Calibri" w:eastAsia="Calibri" w:hAnsi="Calibri"/>
        <w:color w:val="64748B"/>
        <w:sz w:val="16"/>
        <w:szCs w:val="16"/>
      </w:rPr>
      <w:t xml:space="preserve">AI Control Plane Assessment  |  Templates T1 to T13</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abstractNum w:abstractNumId="3" w15:restartNumberingAfterBreak="0">
    <w:multiLevelType w:val="hybridMultilevel"/>
    <w:lvl w:ilvl="0" w15:tentative="1">
      <w:start w:val="1"/>
      <w:numFmt w:val="decimal"/>
      <w:lvlText w:val="%1."/>
      <w:lvlJc w:val="left"/>
      <w:pPr>
        <w:ind w:left="360" w:hanging="30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 w:numId="6">
    <w:abstractNumId w:val="3"/>
    <w:lvlOverride w:ilvl="0">
      <w:startOverride w:val="1"/>
    </w:lvlOverride>
  </w:num>
  <w:num w:numId="7">
    <w:abstractNumId w:val="2"/>
    <w:lvlOverride w:ilvl="0">
      <w:startOverride w:val="1"/>
    </w:lvlOverride>
  </w:num>
  <w:num w:numId="8">
    <w:abstractNumId w:val="3"/>
    <w:lvlOverride w:ilvl="0">
      <w:startOverride w:val="1"/>
    </w:lvlOverride>
  </w:num>
  <w:num w:numId="9">
    <w:abstractNumId w:val="2"/>
    <w:lvlOverride w:ilvl="0">
      <w:startOverride w:val="1"/>
    </w:lvlOverride>
  </w:num>
  <w:num w:numId="10">
    <w:abstractNumId w:val="3"/>
    <w:lvlOverride w:ilvl="0">
      <w:startOverride w:val="1"/>
    </w:lvlOverride>
  </w:num>
  <w:num w:numId="11">
    <w:abstractNumId w:val="2"/>
    <w:lvlOverride w:ilvl="0">
      <w:startOverride w:val="1"/>
    </w:lvlOverride>
  </w:num>
  <w:num w:numId="12">
    <w:abstractNumId w:val="3"/>
    <w:lvlOverride w:ilvl="0">
      <w:startOverride w:val="1"/>
    </w:lvlOverride>
  </w:num>
  <w:num w:numId="13">
    <w:abstractNumId w:val="2"/>
    <w:lvlOverride w:ilvl="0">
      <w:startOverride w:val="1"/>
    </w:lvlOverride>
  </w:num>
  <w:num w:numId="14">
    <w:abstractNumId w:val="3"/>
    <w:lvlOverride w:ilvl="0">
      <w:startOverride w:val="1"/>
    </w:lvlOverride>
  </w:num>
  <w:num w:numId="15">
    <w:abstractNumId w:val="3"/>
    <w:lvlOverride w:ilvl="0">
      <w:startOverride w:val="1"/>
    </w:lvlOverride>
  </w:num>
  <w:num w:numId="16">
    <w:abstractNumId w:val="3"/>
    <w:lvlOverride w:ilvl="0">
      <w:startOverride w:val="1"/>
    </w:lvlOverride>
  </w:num>
  <w:num w:numId="17">
    <w:abstractNumId w:val="3"/>
    <w:lvlOverride w:ilvl="0">
      <w:startOverride w:val="1"/>
    </w:lvlOverride>
  </w:num>
  <w:num w:numId="18">
    <w:abstractNumId w:val="2"/>
    <w:lvlOverride w:ilvl="0">
      <w:startOverride w:val="1"/>
    </w:lvlOverride>
  </w:num>
  <w:num w:numId="19">
    <w:abstractNumId w:val="3"/>
    <w:lvlOverride w:ilvl="0">
      <w:startOverride w:val="1"/>
    </w:lvlOverride>
  </w:num>
  <w:num w:numId="20">
    <w:abstractNumId w:val="2"/>
    <w:lvlOverride w:ilvl="0">
      <w:startOverride w:val="1"/>
    </w:lvlOverride>
  </w:num>
  <w:num w:numId="21">
    <w:abstractNumId w:val="3"/>
    <w:lvlOverride w:ilvl="0">
      <w:startOverride w:val="1"/>
    </w:lvlOverride>
  </w:num>
  <w:num w:numId="22">
    <w:abstractNumId w:val="2"/>
    <w:lvlOverride w:ilvl="0">
      <w:startOverride w:val="1"/>
    </w:lvlOverride>
  </w:num>
  <w:num w:numId="23">
    <w:abstractNumId w:val="3"/>
    <w:lvlOverride w:ilvl="0">
      <w:startOverride w:val="1"/>
    </w:lvlOverride>
  </w:num>
  <w:num w:numId="24">
    <w:abstractNumId w:val="2"/>
    <w:lvlOverride w:ilvl="0">
      <w:startOverride w:val="1"/>
    </w:lvlOverride>
  </w:num>
  <w:num w:numId="2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937"/>
        <w:sz w:val="21"/>
        <w:szCs w:val="21"/>
      </w:rPr>
    </w:rPrDefault>
    <w:pPrDefault>
      <w:pPr>
        <w:spacing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240"/>
      <w:outlineLvl w:val="0"/>
    </w:pPr>
    <w:rPr>
      <w:rFonts w:ascii="Calibri" w:cs="Calibri" w:eastAsia="Calibri" w:hAnsi="Calibri"/>
      <w:b/>
      <w:bCs/>
      <w:color w:val="0F172A"/>
      <w:sz w:val="36"/>
      <w:szCs w:val="36"/>
    </w:rPr>
  </w:style>
  <w:style w:type="paragraph" w:styleId="Heading2">
    <w:name w:val="Heading 2"/>
    <w:basedOn w:val="Normal"/>
    <w:next w:val="Normal"/>
    <w:qFormat/>
    <w:pPr>
      <w:spacing w:after="140" w:before="240"/>
      <w:outlineLvl w:val="1"/>
    </w:pPr>
    <w:rPr>
      <w:rFonts w:ascii="Calibri" w:cs="Calibri" w:eastAsia="Calibri" w:hAnsi="Calibri"/>
      <w:b/>
      <w:bCs/>
      <w:color w:val="0369A1"/>
      <w:sz w:val="28"/>
      <w:szCs w:val="28"/>
    </w:rPr>
  </w:style>
  <w:style w:type="paragraph" w:styleId="Heading3">
    <w:name w:val="Heading 3"/>
    <w:basedOn w:val="Normal"/>
    <w:next w:val="Normal"/>
    <w:qFormat/>
    <w:pPr>
      <w:spacing w:after="100" w:before="200"/>
      <w:outlineLvl w:val="2"/>
    </w:pPr>
    <w:rPr>
      <w:rFonts w:ascii="Calibri" w:cs="Calibri" w:eastAsia="Calibri" w:hAnsi="Calibri"/>
      <w:b/>
      <w:bCs/>
      <w:color w:val="1E293B"/>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wbtkvy5_dtpi6xaloqb7_" Type="http://schemas.openxmlformats.org/officeDocument/2006/relationships/hyperlink" Target="https://johnfisher-ai.github.io/ai-control-plane-handbook/toolkit/" TargetMode="External"/><Relationship Id="rIdpzaszififpcjkqtqb9rky" Type="http://schemas.openxmlformats.org/officeDocument/2006/relationships/hyperlink" Target="https://johnfisher-ai.github.io/ai-control-plane-handbook/toolkit/" TargetMode="External"/><Relationship Id="rIdfgjwxtre4dwozdnqztylv" Type="http://schemas.openxmlformats.org/officeDocument/2006/relationships/hyperlink" Target="https://johnfisher-ai.github.io/ai-control-plane-handbook/toolkit/section-02.html" TargetMode="External"/><Relationship Id="rId5hxxmtf0rhmk1dgyvsl09" Type="http://schemas.openxmlformats.org/officeDocument/2006/relationships/hyperlink" Target="https://johnfisher-ai.github.io/ai-control-plane-handbook/toolkit/section-06.html" TargetMode="External"/><Relationship Id="rIddl2dnxnzdyhjrtpgsf5cu" Type="http://schemas.openxmlformats.org/officeDocument/2006/relationships/hyperlink" Target="https://johnfisher-ai.github.io/ai-control-plane-handbook/toolkit/section-04.html" TargetMode="External"/><Relationship Id="rIdh722zv4r6mw0skatc4f2b" Type="http://schemas.openxmlformats.org/officeDocument/2006/relationships/hyperlink" Target="https://johnfisher-ai.github.io/ai-control-plane-handbook/toolkit/section-04.html" TargetMode="External"/><Relationship Id="rIddk4s82dnuowezshoq-hb0" Type="http://schemas.openxmlformats.org/officeDocument/2006/relationships/hyperlink" Target="https://johnfisher-ai.github.io/ai-control-plane-handbook/toolkit/section-04.html" TargetMode="External"/><Relationship Id="rId25ga79_7o2b7y9ifq7oin" Type="http://schemas.openxmlformats.org/officeDocument/2006/relationships/hyperlink" Target="https://johnfisher-ai.github.io/ai-control-plane-handbook/toolkit/section-04.html" TargetMode="External"/><Relationship Id="rId6j6ulsrfwaix76zzg16er" Type="http://schemas.openxmlformats.org/officeDocument/2006/relationships/hyperlink" Target="https://johnfisher-ai.github.io/ai-control-plane-handbook/toolkit/section-04.html" TargetMode="External"/><Relationship Id="rIdvdrs6il9qtcmxhezlfoxg" Type="http://schemas.openxmlformats.org/officeDocument/2006/relationships/hyperlink" Target="https://johnfisher-ai.github.io/ai-control-plane-handbook/toolkit/section-04.html" TargetMode="External"/><Relationship Id="rId-zdbkh4wmv2q2abd7jhhi" Type="http://schemas.openxmlformats.org/officeDocument/2006/relationships/hyperlink" Target="https://johnfisher-ai.github.io/ai-control-plane-handbook/toolkit/section-05.html#figure-2" TargetMode="External"/><Relationship Id="rId3ldzeuqueyxgqkuj2jpbg" Type="http://schemas.openxmlformats.org/officeDocument/2006/relationships/hyperlink" Target="https://johnfisher-ai.github.io/ai-control-plane-handbook/handbook/section-06.html#figure-4" TargetMode="External"/><Relationship Id="rIdhb_fqa8wssuxkynrsxssx" Type="http://schemas.openxmlformats.org/officeDocument/2006/relationships/hyperlink" Target="https://johnfisher-ai.github.io/ai-control-plane-handbook/toolkit/section-05.html" TargetMode="External"/><Relationship Id="rIdhq6ahuiqqb_sgnps0fs0u" Type="http://schemas.openxmlformats.org/officeDocument/2006/relationships/hyperlink" Target="https://johnfisher-ai.github.io/ai-control-plane-handbook/toolkit/section-04.html" TargetMode="External"/><Relationship Id="rIddgvilf7ahxrcodqo8gunf" Type="http://schemas.openxmlformats.org/officeDocument/2006/relationships/hyperlink" Target="https://johnfisher-ai.github.io/ai-control-plane-handbook/toolkit/section-06.html" TargetMode="External"/><Relationship Id="rIde1ahlsmexum8zwvfifxsm" Type="http://schemas.openxmlformats.org/officeDocument/2006/relationships/hyperlink" Target="https://johnfisher-ai.github.io/ai-control-plane-handbook/handbook/section-11.html" TargetMode="External"/><Relationship Id="rIdieq0xe3km2wqbhkqzvceo" Type="http://schemas.openxmlformats.org/officeDocument/2006/relationships/hyperlink" Target="https://johnfisher-ai.github.io/ai-control-plane-handbook/toolkit/appendix-b.html" TargetMode="External"/><Relationship Id="rIdp6z1qk_h8vcxvpyddq-kh" Type="http://schemas.openxmlformats.org/officeDocument/2006/relationships/hyperlink" Target="https://johnfisher-ai.github.io/ai-control-plane-handbook/handbook/section-11.html#figure-8" TargetMode="External"/><Relationship Id="rIdgsxwa_wr8fj2gmq2ry-jb" Type="http://schemas.openxmlformats.org/officeDocument/2006/relationships/hyperlink" Target="https://johnfisher-ai.github.io/ai-control-plane-handbook/handbook/appendix-c.html" TargetMode="External"/><Relationship Id="rIdipjgqp1-97jyifyhzgtm_" Type="http://schemas.openxmlformats.org/officeDocument/2006/relationships/hyperlink" Target="https://johnfisher-ai.github.io/ai-control-plane-handbook/handbook/section-11.html#figure-9" TargetMode="External"/><Relationship Id="rIdbhg8jbkibllmexalupas1" Type="http://schemas.openxmlformats.org/officeDocument/2006/relationships/hyperlink" Target="https://johnfisher-ai.github.io/ai-control-plane-handbook/handbook/section-11.html#figure-10" TargetMode="External"/><Relationship Id="rIdz-qwlusid60naubnkklgd" Type="http://schemas.openxmlformats.org/officeDocument/2006/relationships/hyperlink" Target="https://johnfisher-ai.github.io/ai-control-plane-handbook/handbook/section-11.html#figure-11" TargetMode="External"/><Relationship Id="rIdczxxbtxpntat53gmvqr62" Type="http://schemas.openxmlformats.org/officeDocument/2006/relationships/hyperlink" Target="https://johnfisher-ai.github.io/ai-control-plane-handbook/handbook/section-11.html#figure-12" TargetMode="External"/><Relationship Id="rIdquvbg2p0087k4qfoafqmx" Type="http://schemas.openxmlformats.org/officeDocument/2006/relationships/hyperlink" Target="https://johnfisher-ai.github.io/ai-control-plane-handbook/handbook/appendix-b.html" TargetMode="External"/><Relationship Id="rIdvf1thaz9oucx3nhy8rkro" Type="http://schemas.openxmlformats.org/officeDocument/2006/relationships/hyperlink" Target="https://blogs.microsoft.com/blog/2026/03/09/introducing-the-first-frontier-suite-built-on-intelligence-trust/" TargetMode="External"/><Relationship Id="rIdmjw2h1saezfjlxrksrtrl" Type="http://schemas.openxmlformats.org/officeDocument/2006/relationships/hyperlink" Target="https://learn.microsoft.com/en-us/entra/agent-id/whats-new-agent-id" TargetMode="External"/><Relationship Id="rId7aey6rucmzotkryp_gibp" Type="http://schemas.openxmlformats.org/officeDocument/2006/relationships/hyperlink" Target="https://learn.microsoft.com/en-us/agent-framework/overview/" TargetMode="External"/><Relationship Id="rIdpt9j6lw9nfrkaahqkdoaw" Type="http://schemas.openxmlformats.org/officeDocument/2006/relationships/hyperlink" Target="https://www.mulesoft.com/ai/agent-fabric" TargetMode="External"/><Relationship Id="rIdxcfk4x8nirnlbmone4pa5" Type="http://schemas.openxmlformats.org/officeDocument/2006/relationships/hyperlink" Target="https://docs.mulesoft.com/general/agent-fabric-release-notes" TargetMode="External"/><Relationship Id="rIdh8wk_qmkerzoroyzkh4st" Type="http://schemas.openxmlformats.org/officeDocument/2006/relationships/hyperlink" Target="https://docs.mulesoft.com/exchange/agent-scanners" TargetMode="External"/><Relationship Id="rIdtqg-n4obprgor0nevmn6d" Type="http://schemas.openxmlformats.org/officeDocument/2006/relationships/hyperlink" Target="https://docs.mulesoft.com/api-manager/latest/create-instance-task-mcp-bridge" TargetMode="External"/><Relationship Id="rIdz-urctiboiva3zbpcyf9w" Type="http://schemas.openxmlformats.org/officeDocument/2006/relationships/hyperlink" Target="https://docs.mulesoft.com/general/model-proxy" TargetMode="External"/><Relationship Id="rId5tycis-wowz2qrst4z-3e" Type="http://schemas.openxmlformats.org/officeDocument/2006/relationships/hyperlink" Target="https://docs.mulesoft.com/general/exp-detect-and-contain-rogue-agents" TargetMode="External"/><Relationship Id="rId-rpadwyimjkfncvoxcpi5" Type="http://schemas.openxmlformats.org/officeDocument/2006/relationships/hyperlink" Target="https://www.mulesoft.com/ai/agent-fabric/cost-management" TargetMode="External"/><Relationship Id="rIdhgqm55m8mryy-8ldffv0r" Type="http://schemas.openxmlformats.org/officeDocument/2006/relationships/hyperlink" Target="https://modelcontextprotocol.io/specification" TargetMode="External"/><Relationship Id="rId2doc1nnj5zart_ckwm0p8" Type="http://schemas.openxmlformats.org/officeDocument/2006/relationships/hyperlink" Target="https://modelcontextprotocol.io/specification/2026-07-28/changelog" TargetMode="External"/><Relationship Id="rIdw8l3iwalsxfnpncqzomvh" Type="http://schemas.openxmlformats.org/officeDocument/2006/relationships/hyperlink" Target="https://github.com/a2aproject/A2A" TargetMode="External"/><Relationship Id="rId9na3_-axengkjrk2jm8zw" Type="http://schemas.openxmlformats.org/officeDocument/2006/relationships/hyperlink" Target="https://aaif.io/blog/a2a-joins-aaif" TargetMode="External"/><Relationship Id="rIdz2rekrovygcq_z69ra5r4" Type="http://schemas.openxmlformats.org/officeDocument/2006/relationships/hyperlink" Target="https://datatracker.ietf.org/doc/draft-ietf-wimse-aims/" TargetMode="External"/><Relationship Id="rIdm3ch3nvtijnog5uzwcn-g" Type="http://schemas.openxmlformats.org/officeDocument/2006/relationships/hyperlink" Target="https://cloud.google.com/blog/products/ai-machine-learning/20-questions-for-the-agentic-enterprise" TargetMode="External"/><Relationship Id="rIdbb1tl-rs8m13prhyegceh" Type="http://schemas.openxmlformats.org/officeDocument/2006/relationships/hyperlink" Target="https://cloud.google.com/transform/the-kpis-that-actually-matter-for-production-ai-agents" TargetMode="External"/><Relationship Id="rIdyjkdru8otabuoxakngyy3" Type="http://schemas.openxmlformats.org/officeDocument/2006/relationships/hyperlink" Target="https://docs.aws.amazon.com/bedrock-agentcore/latest/devguide/what-is-bedrock-agentcore.html" TargetMode="External"/><Relationship Id="rId7qvzktyrezi0obfu1sib_" Type="http://schemas.openxmlformats.org/officeDocument/2006/relationships/hyperlink" Target="https://docs.aws.amazon.com/bedrock-agentcore/latest/devguide/evaluations.html" TargetMode="External"/><Relationship Id="rIdz9zxi_c7zp4clfqn2sdkx" Type="http://schemas.openxmlformats.org/officeDocument/2006/relationships/hyperlink" Target="https://www.iso.org/standard/42005" TargetMode="External"/><Relationship Id="rIdsnkmddyd-gjg1g_yxy2ab" Type="http://schemas.openxmlformats.org/officeDocument/2006/relationships/hyperlink" Target="https://www.nist.gov/itl/ai-risk-management-framework" TargetMode="External"/><Relationship Id="rId7_rry4e4ez0vefvzveckw" Type="http://schemas.openxmlformats.org/officeDocument/2006/relationships/hyperlink" Target="https://nvlpubs.nist.gov/nistpubs/ai/NIST.AI.100-1.pdf" TargetMode="External"/><Relationship Id="rIdi4qdsceofxpoud3eoylim" Type="http://schemas.openxmlformats.org/officeDocument/2006/relationships/hyperlink" Target="https://www.informatica.com/salesforce.html" TargetMode="External"/><Relationship Id="rIdim8hylcwxbutebhtyk4df" Type="http://schemas.openxmlformats.org/officeDocument/2006/relationships/hyperlink" Target="https://onlinehelp.informatica.com/IICS/prod/agentic-ui/en/aa-aiae-mcp-whats-new/New_features_and_enhancements_2.html" TargetMode="External"/><Relationship Id="rIdqlk9fme_t3k46h5awbhxu" Type="http://schemas.openxmlformats.org/officeDocument/2006/relationships/hyperlink" Target="https://docs.mulesoft.com/pdk/latest/policies-pdk-develop-custom-policies" TargetMode="External"/><Relationship Id="rIdkjh-dv9r589fye5o4z-nz" Type="http://schemas.openxmlformats.org/officeDocument/2006/relationships/hyperlink" Target="https://docs.mulesoft.com/gateway/latest/agent-policies" TargetMode="External"/><Relationship Id="rIdndmrtn7yrhyj0tonda9b6" Type="http://schemas.openxmlformats.org/officeDocument/2006/relationships/hyperlink" Target="https://www.deloitte.com/global/en/what-we-do/capabilities/ai/research/ai-roi-the-paradox-of-rising-investment-and-elusive-returns.html" TargetMode="External"/><Relationship Id="rIdtwsvzlkb_i2t3lmjxqmxo" Type="http://schemas.openxmlformats.org/officeDocument/2006/relationships/hyperlink" Target="https://kpmg.com/kz/en/insights/2025/10/kpmg-2025-ceo-outlook.html" TargetMode="External"/><Relationship Id="rIdqufl3xumv74jgxdwtklp3" Type="http://schemas.openxmlformats.org/officeDocument/2006/relationships/hyperlink" Target="https://www.bcg.com/publications/2026/design-your-company-for-ai-not-ai-for-your-company" TargetMode="External"/><Relationship Id="rId7jbxob9zssrpybk1xed4v" Type="http://schemas.openxmlformats.org/officeDocument/2006/relationships/hyperlink" Target="https://www.bcg.com/publications/2026/ai-at-work-why-strategy-matters-more-than-tools" TargetMode="External"/><Relationship Id="rId4f_sgste9xfvzmvjlyvu1" Type="http://schemas.openxmlformats.org/officeDocument/2006/relationships/hyperlink" Target="https://www.ecfr.gov/current/title-17/chapter-II/part-210/subject-group-ECFR2f5dcb24c1c571e/section-210.2-01" TargetMode="External"/><Relationship Id="rIdpqknb-nmu-sd7bznot_np" Type="http://schemas.openxmlformats.org/officeDocument/2006/relationships/hyperlink" Target="https://csrc.nist.gov/pubs/sp/800/207/final" TargetMode="External"/><Relationship Id="rIdzt7ujvkxlqdrft_m7xj2p" Type="http://schemas.openxmlformats.org/officeDocument/2006/relationships/hyperlink" Target="https://spiffe.io" TargetMode="External"/><Relationship Id="rIdk3n8uawwnq60d7f7ck25p" Type="http://schemas.openxmlformats.org/officeDocument/2006/relationships/hyperlink" Target="https://www.rfc-editor.org/rfc/rfc8693" TargetMode="External"/><Relationship Id="rIdicvjz57j1y7sodzg60k9s" Type="http://schemas.openxmlformats.org/officeDocument/2006/relationships/hyperlink" Target="https://genai.owasp.org/resource/owasp-genai-llm-top-10-2026/" TargetMode="External"/><Relationship Id="rIdb_5zzlbop5w4wu6oziefu" Type="http://schemas.openxmlformats.org/officeDocument/2006/relationships/hyperlink" Target="https://github.com/open-telemetry/semantic-conventions-genai" TargetMode="External"/><Relationship Id="rId04nfjywsqmnis2-lbb7r1" Type="http://schemas.openxmlformats.org/officeDocument/2006/relationships/hyperlink" Target="https://creativecommons.org/licenses/by-nc-nd/4.0/" TargetMode="External"/><Relationship Id="rIdehx-t9rseqrt8cgtkkaga" Type="http://schemas.openxmlformats.org/officeDocument/2006/relationships/hyperlink" Target="https://creativecommons.org/licenses/by/4.0/" TargetMode="External"/><Relationship Id="rIdgkkx6w3ud_ebanb1hqmin" Type="http://schemas.openxmlformats.org/officeDocument/2006/relationships/hyperlink" Target="https://www.linkedin.com/in/johnrfisher" TargetMode="External"/><Relationship Id="rId11" Type="http://schemas.openxmlformats.org/officeDocument/2006/relationships/image" Target="media/f64881d0302bc81bad3c31f1d9d358430b119aab.png"/><Relationship Id="rId12" Type="http://schemas.openxmlformats.org/officeDocument/2006/relationships/image" Target="media/ab00516c124bc301a649c38b34ee5646878aed9d.png"/><Relationship Id="rId13" Type="http://schemas.openxmlformats.org/officeDocument/2006/relationships/image" Target="media/9cc64c3419aa29e322ee1ecc1522bb7f1dacabbc.png"/><Relationship Id="rId14" Type="http://schemas.openxmlformats.org/officeDocument/2006/relationships/image" Target="media/7a2964e1f76f041d03ac195b5207af8f87fede09.png"/><Relationship Id="rId15" Type="http://schemas.openxmlformats.org/officeDocument/2006/relationships/image" Target="media/eff44cf2f7832602a62366b0ed29a8100d0b7c5e.png"/><Relationship Id="rId16" Type="http://schemas.openxmlformats.org/officeDocument/2006/relationships/image" Target="media/591994b3ee4e56d4722036ea55462a221c803772.png"/><Relationship Id="rId17" Type="http://schemas.openxmlformats.org/officeDocument/2006/relationships/image" Target="media/2a75eebaf7c7483c1123ff81a25202a4ef6a6e52.png"/><Relationship Id="rId18" Type="http://schemas.openxmlformats.org/officeDocument/2006/relationships/image" Target="media/5eea0f015fe8129c6bf67269dc5ba386b7050cc3.png"/><Relationship Id="rId19" Type="http://schemas.openxmlformats.org/officeDocument/2006/relationships/image" Target="media/14213290bf99b9ab40cf830966e41ef9c31f153c.png"/><Relationship Id="rId20" Type="http://schemas.openxmlformats.org/officeDocument/2006/relationships/image" Target="media/814b5f63d6163f5e96efcee0eeb0c8dd43e67168.png"/><Relationship Id="rId21" Type="http://schemas.openxmlformats.org/officeDocument/2006/relationships/image" Target="media/ced5737e033b9b3e3c742fcb0c152618e89acd3c.png"/><Relationship Id="rId22" Type="http://schemas.openxmlformats.org/officeDocument/2006/relationships/image" Target="media/234becf433ce182d2b9969a73159eff52f7be6a2.png"/><Relationship Id="rId8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Control Plane Assessment: templates T1 to T13</dc:title>
  <dc:subject>Blank templates and the worked example for reference use case 1, from the toolkit Assessing an AI Control Plane Project</dc:subject>
  <dc:creator>John Fisher</dc:creator>
  <dc:description>CC BY-NC-ND 4.0, with the AI Control Plane Assessment toolkit’s additional permissions. https://johnfisher-ai.github.io/ai-control-plane-handbook/toolkit/</dc:description>
  <cp:lastModifiedBy>John Fisher</cp:lastModifiedBy>
  <cp:revision>1</cp:revision>
  <dcterms:created xsi:type="dcterms:W3CDTF">2026-10-15T17:30:09.271Z</dcterms:created>
  <dcterms:modified xsi:type="dcterms:W3CDTF">2026-10-15T17:30:09.271Z</dcterms:modified>
</cp:coreProperties>
</file>

<file path=docProps/custom.xml><?xml version="1.0" encoding="utf-8"?>
<Properties xmlns="http://schemas.openxmlformats.org/officeDocument/2006/custom-properties" xmlns:vt="http://schemas.openxmlformats.org/officeDocument/2006/docPropsVTypes"/>
</file>